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8" w:rsidRPr="00BE74D6" w:rsidRDefault="003820C0" w:rsidP="00BE74D6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4D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 сессия SDC - Подкомитета ИМО по проектир</w:t>
      </w:r>
      <w:r w:rsidR="00D2203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ованию и конструкции судна </w:t>
      </w:r>
      <w:r w:rsidR="00D2203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br/>
        <w:t>(3–</w:t>
      </w:r>
      <w:r w:rsidRPr="00BE74D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 февраля 2020 г.)</w:t>
      </w:r>
    </w:p>
    <w:p w:rsidR="00B86568" w:rsidRPr="00BE74D6" w:rsidRDefault="00B86568" w:rsidP="00BE74D6">
      <w:pPr>
        <w:pStyle w:val="NoSpacing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по проектированию и конструкции судна (SDC7) состоялась в период с 3 по 7 февраля 2020 г. в Штаб-квартире Международной морской организации (ИМО).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Пересмотренные Пояснительные </w:t>
      </w:r>
      <w:r w:rsidR="0075654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записки</w:t>
      </w:r>
      <w:r w:rsidR="0075654F"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(EN) к Правилам главы II-1 Конвенции СОЛАС по делению на отсеки и остойчивости в поврежденном состоянии (Резолюция MSC.429(98))</w:t>
      </w:r>
    </w:p>
    <w:p w:rsidR="004D48BB" w:rsidRPr="00BE74D6" w:rsidRDefault="00771876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SDC завершила работу над проектом поправок к главе II-1 СОЛАС с целью обеспечения единства между частями В-2 и В-4 Конвенции СОЛАС, глава II-1, в отношении водонепроницаемости, а 101 сессия КБМ одобрила проект поправок с целью его принятия на 102 сессии КБМ.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окончании работы над проектом поправок к главе II-1 Конвенции СОЛАС было решено внести последующие поправки в сопутствующие положения Пересмотренных пояснительных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записок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 правилам главы II-1 Конвенции СОЛАС «Деление на отсеки и остойчивость в поврежденном состоянии» (Резолюция MSC.429(98)).</w:t>
      </w:r>
    </w:p>
    <w:p w:rsidR="004D48BB" w:rsidRPr="00BE74D6" w:rsidRDefault="004D48BB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От МАКО потребовалось:</w:t>
      </w:r>
    </w:p>
    <w:p w:rsidR="004D48BB" w:rsidRPr="00BE74D6" w:rsidRDefault="004D48BB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разъяснение требований к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полностью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герметичным дверям выше палубы переборок, которые стали периодически погруженными (полностью или частично) при углах крена в требуемом диапазоне положительной остойчивости, в частности в отношении к противоречивым требованиям к таким дистанционно управляемым скользящим дверям, которые также должны отвечать требованиям к пожарной безопасности Правила II-2/9.4.1.1 Конвенции СОЛАС.</w:t>
      </w:r>
    </w:p>
    <w:p w:rsidR="004D48BB" w:rsidRPr="00BE74D6" w:rsidRDefault="004D48BB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разъяснение положений о предотвращении прогрессирующего затопления в Пересмотренны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пояснительных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ах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 Правилам главы II-1 Конвенции СОЛАС «Деление на отсеки и остойчивость в поврежденном состоянии» (Резолюция MSC.429(98)), Правилам II-1/7.7 и II-1/7-1 Конвенции СОЛАС в отношении формулировки «в том же порядке, что их подкрепляющая конструкция» для труб и клапанов и их разделяющем рас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>стоянии до переборки или палубы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предложение вместо этого применять разделяющее расстояние в 450 мм. </w:t>
      </w:r>
    </w:p>
    <w:p w:rsidR="004D48BB" w:rsidRPr="00BE74D6" w:rsidRDefault="003820C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успешно завершила работу над проектом консолидированных Пересмотренных пояснительных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записок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и проектом сопутствующей Резолюции MSC с целью принятия на 102 сессии Комитета по безопасности на море в качестве Резолюции MSC.429(</w:t>
      </w:r>
      <w:proofErr w:type="gram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98)/</w:t>
      </w:r>
      <w:proofErr w:type="gram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Rev.1.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Пояснительных </w:t>
      </w:r>
      <w:r w:rsidR="00B25313" w:rsidRP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записок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 Правилу II-1/7-2.5.5 Конвенции СОЛАС</w:t>
      </w:r>
    </w:p>
    <w:p w:rsidR="004D48BB" w:rsidRPr="00BE74D6" w:rsidRDefault="003820C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</w:t>
      </w:r>
      <w:r w:rsidR="005343EA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согласилась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новые Пояснительные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не обязательны, т.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к. новые поправки к Конвенции СОЛАС не вносят изменений в </w:t>
      </w:r>
      <w:r w:rsidR="005343E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смысл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требований.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Пояснительные </w:t>
      </w:r>
      <w:r w:rsidR="00B25313" w:rsidRP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 Правилам II-1/17.1 и II-1/17.2 Конвенции СОЛАС</w:t>
      </w:r>
    </w:p>
    <w:p w:rsidR="004D48BB" w:rsidRPr="00BE74D6" w:rsidRDefault="003820C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согласовала некоторые изменения к Пояснительным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 Правилам II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-1/17.1 и 17.2 Конвенции СОЛАС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с целью обеспечения ясности в отношении освобожд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ения от соблюдения новых норм. 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Ссылки на Правило II-2/9.4.1.1.2 Конвенции СОЛАС были заменены на актуализированные ссылки на Правило II-2/9.4.1.1.3.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Пояснительные </w:t>
      </w:r>
      <w:r w:rsidR="00B25313" w:rsidRP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 Правилу II-1/17.3 Конвенции СОЛАС</w:t>
      </w:r>
    </w:p>
    <w:p w:rsidR="004D48BB" w:rsidRPr="00BE74D6" w:rsidRDefault="003820C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>а SDC согласилась, что для того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чтобы признать способность дверей предотвращать проникновение воды при периодических погружениях в требуемом диапазоне положительной остойчивости, двери должны соответствовать напор</w:t>
      </w:r>
      <w:r w:rsidR="00562139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воды </w:t>
      </w:r>
      <w:r w:rsidR="005621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высотой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минимум 1 м. 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Эта величина напора является достаточной для данной области применения и должна представлять единый стандарт для одобрения этих дверей.</w:t>
      </w:r>
    </w:p>
    <w:p w:rsidR="004D48BB" w:rsidRPr="00BE74D6" w:rsidRDefault="00692250" w:rsidP="00BE74D6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Поскольку двери расположены выше палубы переборок, они должны отвечать сочетанию требований к водонепроницае</w:t>
      </w:r>
      <w:r w:rsidR="003649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мости и пожарной безопасности.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данном контексте эти двери должны отвечать требованиям к пожарной безопасности главы II-2 Конвенции СОЛАС, и поскольку эти двери не являются водонепроницаемыми дверями, соответствующими требованиям Правила II-1/13, исключения для водонепроницаемых дверей в главе II-2 не применяются. </w:t>
      </w:r>
    </w:p>
    <w:p w:rsidR="004D48BB" w:rsidRPr="00BE74D6" w:rsidRDefault="0036491B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На основании этого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 сессия Подкомитета SDC согласилась включить соответствующие 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дополнительные 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требования к таким дверям на основании требований к водонепроницаемым дверям, изложенны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Правиле 13.</w:t>
      </w:r>
    </w:p>
    <w:p w:rsidR="004D48BB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Пояснительные </w:t>
      </w:r>
      <w:r w:rsidR="00B25313" w:rsidRP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записк</w:t>
      </w:r>
      <w:r w:rsidR="0005490A" w:rsidRP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 Правилам II-1/7.7, 1.1.1 и II-1/17.2 к Конвенции СОЛАС</w:t>
      </w:r>
    </w:p>
    <w:p w:rsidR="00F9242A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согласилась добавить положение о том, что ни в каком случае разделяющее расстояние с каждой стороны переборки или палубы не должно составлять более 450 мм, измеренное от клапанов вблизи края переборки или палубы. Подкомитет также согласился включить в Пояснительные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необходимые стат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ьи в отношении освобождения от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соблюдения новых норм.</w:t>
      </w:r>
    </w:p>
    <w:p w:rsidR="00F9242A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Частично водонепроницаемые скользящие двери выше палубы переборок </w:t>
      </w:r>
    </w:p>
    <w:p w:rsidR="00F53575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согласилась, что намерение включить эти </w:t>
      </w:r>
      <w:r w:rsidR="005343E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полностью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герметичные двери в положение о «не применяемых» Правила II-2/9.4.1.1.5 Конвенции СОЛАС в отношении водонепроницаемых дверей с механическим приводом.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поправок к разделу 3 циркуляра MSC.1/CIRC.1572 в отношении требований к водонепроницаемым дверям главы II-1, части В-1 Конвенции СОЛАС</w:t>
      </w:r>
    </w:p>
    <w:p w:rsidR="003820C0" w:rsidRPr="00BE74D6" w:rsidRDefault="00771876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Подкомитета SDC рассмотрела актуализированную Унифицированную интерпретацию МАКО SC156 «Двери в водонепроницаемых переборках грузовых и пассажирских судов» (УИ SC156/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Rev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/1), которая требует внесения последующих поправок в соот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>ветствующие положения циркуляра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MSC.1/Circ.1464, который был заменен циркуляром MSC.1/Circ.1572.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На 7 сессии Подкомитета SDC была завершена работа над проектом поправок к разделу 3 MSC.1/Circ.1572 с целью его представления на 102 сессию КБМС для одобрения.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частности, 7 сессия Подкомитета SDC согласовала, что: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в отношении пунктов 3.5.1 и 3.5.4 для пассажирских судов аварийная сигнализация должна располагаться на центральной панели упра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вления навигационного мостика.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Для грузовых судов аварийная сигнализация должна располагаться на навигационном мостике;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соответствующая ссылка в сносках 5 и 6 к Кодексу по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извещателям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индикаторам, 2009 г. *Резолюция А.1021(26)).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Пересмотренный Циркуляр MSC.1/Circ.1572 должен применяться только к судам, построенным на 1 января 2020 г. или после этой даты или начиная с даты вступления в силу пересмотренного циркуляра.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Потребность в разработке руководства к Правилу II-1/22.3 Конвенции СОЛАС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Положение в Правиле II-1/22.3,в котором содержится требование к Администрации допустить применение на грузовых судах любых водонепроницаемых дверей, которые могут быть открыты во время навигации.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этой связи были выражены сомнения по поводу того, что в настоящий момент не имеется руководства для грузовых судов в этом отношении, т.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к. пересмотренное Руководство по водонепроницаемым дверям на пассажирских судах, которые могут быть открыты во время навигации (MSC.1/Circ.1564), применяются только к пассажирским судам.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Отмечая, что </w:t>
      </w:r>
      <w:proofErr w:type="gram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proofErr w:type="gram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II-1/22.3 Конвенции СОЛАС относится к руководству, выпущенному Организацией, которое должны учитывать Администрации при выдаче разрешения на водонепроницаемые двери, которые могут быть открыты во время навигации, 7 сессия Подкомитета SDC согласилась включить нов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Пояснительн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B25313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B25313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Правилу II-1/22.3, пояснив, что для грузовых судов такие разрешения остаются на усмотрение Администрации. 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предположила, что не имеется необходимости в разработке руководства к Правилу II-1/22.3 Конвенции СОЛАС в отношении открывания водонепроницаемых дверей во время навигации на грузовых судах.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Меры по обеспечению безопасности судов, не подпадающих под действие Конвенции СОЛАС, </w:t>
      </w:r>
      <w:proofErr w:type="spellStart"/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эксплуатирующихся</w:t>
      </w:r>
      <w:proofErr w:type="spellEnd"/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полярных водах 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своей тридцать третьей сессии Ассамблея приняла Резолюцию А.1137(31) по временны мерам для судов, не сертифицированным в соответствии с Конвенцией СОЛАС,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>, призвав государства-участники на добровольной основе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внедрить меры безопасности Полярного кодекса, насколько это практически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осуществимо, на судах, не сертифицированных на соответствие Конвенции СОЛАС,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водах, включая рыболовные суда длиной 24 м и более, а также прогулочные яхты валовой вместимостью 300 и выше, не занятых в коммерческой деятельности.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рассматривала проект Руководства по мерам безопасности для рыболовных судов длиной 24 м и более,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 (Руководство по рыболовным судам), и проект Руководства по прогулочным яхтам валовой вместимость 300 и выше, не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занятых в коммерческой деятельности,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 (Руководство по прогулочным яхтам).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руководства по рыболовным судам длиной 24 м и более, </w:t>
      </w:r>
      <w:proofErr w:type="spellStart"/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эксплуатирующимся</w:t>
      </w:r>
      <w:proofErr w:type="spellEnd"/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полярных водах</w:t>
      </w:r>
    </w:p>
    <w:p w:rsidR="003820C0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согласовала проект Руководства по рыболовным судам длиной 24 м и более и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водах, а также сопутствующий проект циркуляра MSC в отношении комментариев от 7 сессии Подкомитета HTW по пункту 11.5 с целью представления на 103 сессию КБМ для одобрения.</w:t>
      </w:r>
    </w:p>
    <w:p w:rsidR="003820C0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Кейптаунское</w:t>
      </w:r>
      <w:proofErr w:type="spellEnd"/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соглашение</w:t>
      </w:r>
    </w:p>
    <w:p w:rsidR="006E14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приняла решение, что в отношении проекта Руководства по рыболовным судам согласование с положениями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Кейптаунского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соглашения 2012 г.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должно быть достигнуто без прямой отсылки к содержащимся в нем положениям, учитывая необязательный характер проекта руководства.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Вследствие того, что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Кейптаунское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соглашение ожидало вступления в силу, 7 сессия Подкомитета SDC согласилась только включить общую ссылку в раздел «Вводная часть», т.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е. «Это Руководство разработано для приведения его в соответствие с рассматриваемым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Кейптаунским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соглашением 2012 г.»</w:t>
      </w:r>
      <w:r w:rsidR="0073060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Другие прямые ссылки на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Кейптаунское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соглашение 2012 г. в проекте руководства не согласовывались.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проекте руководства было удалено определение рыболовных судов в соответствии с решением в отношении удаления предложенных вариантов в определении прогулочной яхты.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индивидуального комплекта средств жизнеобеспечения и коллективного комплект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средств жизнеобеспечения 7 сессия Подкомитета SDC подготовила измененные перечни стандартных элементов для включения в индивидуальный комплект и групповой комплект средств жизнеобеспечения.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руководства по прогулочным судам валовой вместимостью 300 и выше, не </w:t>
      </w:r>
      <w:r w:rsidR="00653E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занятым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коммерческих операциях в полярных водах</w:t>
      </w:r>
    </w:p>
    <w:p w:rsidR="006E14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SDC согласовала проект Руководства по прогулочным яхтам валовой вместимостью 300 и выше, не занятым в коммерческой деятельности в полярных водах, а также проект сопутствующего циркуляра MSC с целью представления на 103 сессии КБМ для одобрения. 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согласился внести измененные перечни стандартных элементов для включения в индивидуальный комплект и групповой комплект средств жизнеобеспечения. 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дополнение к этому, Подкомитет согласился 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внести в раздел 4.1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это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го руководства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положение о наличии гидрокомбинезонов на борту судна.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 обсуждения раздела по навигационному оборудованию было отмечено, что ряд требований к различным судам в соответствии с Главой V Конвенции СОЛАС, например, суда валовой вместимостью менее 150. осуществляющим любые рейсы, и судам валовой вместимостью ниже 500, не занятым в международных рейсах, может иметь влияни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прогулочные яхты валовой вместимостью 300 и выше, не занятые в коммерческой деятельности в полярных водах.</w:t>
      </w:r>
    </w:p>
    <w:p w:rsidR="006E14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этом контексте было согласовано, что Администрациям должно быть предложено применить навигационные положения в проекте Руководства по прогулочным яхтам валовой вместимостью 300 и выше, не занятым в коммерческой деятельности в полярных водах. В отношении обмена сообщениями и планирования рейса 7 сессия Подкомитета SDC согласилась применять положения, аналогичные тем, которые включены в проект Руководства по рыболовным судам длиной 24 м.</w:t>
      </w:r>
    </w:p>
    <w:p w:rsidR="00A64BB9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Рассмотрение пробелов в нормативно-правовом регулировании</w:t>
      </w:r>
    </w:p>
    <w:p w:rsidR="00A64BB9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 сессия Подкомитета SDC рассматривала вопрос о том, что прогулочные яхты валовой вместимостью 300 и выше, но менее 500, занятые в коммерческой деятельности, т.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е. коммерческие яхты и грузовые суда валовой вместимостью от 300 до 500, не рассматриваются в проекте Руководства или в соответствии с Конвенцией СОЛАС и, таким образом, существует пробел в нормативно-правовом регулировании. </w:t>
      </w:r>
    </w:p>
    <w:p w:rsidR="00A64BB9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этом контексте 7 сессия Подкомитета SDC призвала заинтересованные стороны и международные организации представить предложения для рассмотрения возникшего пробела в нормативно-правовом регулировании.</w:t>
      </w:r>
    </w:p>
    <w:p w:rsidR="00A64BB9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вре</w:t>
      </w:r>
      <w:r w:rsidR="00DC12E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менного руководства в отношении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критериев остойчивости </w:t>
      </w:r>
      <w:r w:rsidR="0028782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в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неповрежденно</w:t>
      </w:r>
      <w:r w:rsidR="0028782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 состоянии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второго поколения</w:t>
      </w:r>
    </w:p>
    <w:p w:rsidR="00A64BB9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рассмотрела проект временного руководства по критериям остойчивости второго поколения (временное руководство) в отношении оценки остойчивости в неповрежденном состоянии для движения судна в волнах в качестве проекта инструмента, состоящего из трех комплектов временных руководств, а именно руководства по критериям неуязвимости,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прямой оценке потери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остойчивости и эксплуатационным мерам. </w:t>
      </w:r>
    </w:p>
    <w:p w:rsidR="001D2C2D" w:rsidRPr="00BE74D6" w:rsidRDefault="00771876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Подкомитета SDC согласилась консолидировать три отдельных проекта временных руководств по критериям остойчивости в неповрежденном состоянии второго поколения (т.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е. проект временного руководства: по критериям неуязвимости, по спецификации процедур прямой оценки остойчивости и по подготовке эксплуатационных ограничений и эксплуатационного руководства) в единый комплект руководств для включения всех пяти режимов потери остойчивости с целью завершения работы по данному вопросу на 7 сессии Подкомитета.</w:t>
      </w:r>
    </w:p>
    <w:p w:rsidR="001D2C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согласовала проект временного руководства по критериям остойчивости в неповрежденном состоянии второго поколения и сопутствующий проект циркуляра MSC с целью одобрения на 102 сессии КБМ.</w:t>
      </w:r>
    </w:p>
    <w:p w:rsidR="001D2C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Государствам-участникам и всем заинтер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есованным сторонам предлагается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использовать дополненное временное руководство в качестве дополнительных мер при применении требований обязательных критериев Части А Международного кодекса остойчивости судов в неповрежденном состоянии.</w:t>
      </w:r>
    </w:p>
    <w:p w:rsidR="001D2C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SDC, отмечая преимущество, не ограниченное определенными пунктами/разделами проекта временного руководства при составлении проекта, завершением работы над ним и, при необходимости, внесени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ем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поправок в пояснительные 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записки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согласилась удалить из текста все ссылки на проект Пояснительных 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записок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1D2C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пояснительных </w:t>
      </w:r>
      <w:r w:rsidR="0005490A" w:rsidRP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записок</w:t>
      </w:r>
      <w:r w:rsidR="0005490A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 критериям остойчивости </w:t>
      </w:r>
      <w:r w:rsidR="0028782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в 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неповрежденно</w:t>
      </w:r>
      <w:r w:rsidR="0028782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 состоянии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второго поколения</w:t>
      </w:r>
    </w:p>
    <w:p w:rsidR="001D2C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обсудила приемлемый метод внесения проекта Пояснительных 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записок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, независимо от того, были ли они выпущены в качестве отдельного циркуляра или внесены во временное р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уководство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после их одобрения.</w:t>
      </w:r>
    </w:p>
    <w:p w:rsidR="001D2C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Пленарное заседание пришло к соглашению, что Пояснительные 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записки</w:t>
      </w:r>
      <w:r w:rsidR="0005490A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не должны быть внесены во временное руководство вместо того, чтобы быть изданными в качестве отдельного циркуляра с целью поспособствовать его пересмотру в будущем без необходимости внесения поправок во временное руководство.</w:t>
      </w:r>
    </w:p>
    <w:p w:rsidR="001D2C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не начала подготовку проекта с целью дальнейшей разработки проекта Пояснительных 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записок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, понимая, что работ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реструктуризации должна быть вначале проведена Корреспондентской группой.</w:t>
      </w:r>
    </w:p>
    <w:p w:rsidR="001D2C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новой главы XV Конвенции СОЛАС</w:t>
      </w:r>
    </w:p>
    <w:p w:rsidR="001D2C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согласилась, что проект новой главы XV Конвенции СОЛАС будет применяться к судам, построенным на дату вступления в силу новой главы или после этой даты, и к судам, построенным до даты вступления в силу, начиная с перевозки производственного персонала после даты вступления в силу.</w:t>
      </w:r>
    </w:p>
    <w:p w:rsidR="001D2C2D" w:rsidRPr="00BE74D6" w:rsidRDefault="0069225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соо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>тветствии с мнением Подкомитета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решение по применению к судам, перевозящим в настоящее время производственный персонал, является политическим решением, находящимся в компетенции Комитета. </w:t>
      </w:r>
    </w:p>
    <w:p w:rsidR="001D2C2D" w:rsidRPr="00BE74D6" w:rsidRDefault="003820C0" w:rsidP="00BE74D6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призв</w:t>
      </w:r>
      <w:r w:rsidR="00DC12E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ала 102 сессию КБМ рассмотреть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новой главы XV Конвенции СОЛАС в отношении судов, перевозящих в настоящее время производственный персонал в соответствии с положениями Временных рекомендаций по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безопасной перевозке более 12 человек производственного персонала на борту судов, занятых в международных рейсах (Резолюция MSC.418(97)). </w:t>
      </w:r>
    </w:p>
    <w:p w:rsidR="001D2C2D" w:rsidRPr="00BE74D6" w:rsidRDefault="001D2C2D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Правила XV/3.2 оставлен в квадратных скобках для решения Комитета до одобрения проекта новой главы XV Конвенции СОЛАС.</w:t>
      </w:r>
    </w:p>
    <w:p w:rsidR="001D2C2D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этого, определения терминов «Судно, построенное» и «На аналогичном этапе постройки» (проект Правила XV/1.4 и 1.5), которые непосредственно касаются применения к судам, в настоящее время перевозящим производственный персонал, остаются в квадратных скобках в соответствии с решением Комитета по проекту Правила XV/3.2.</w:t>
      </w:r>
    </w:p>
    <w:p w:rsidR="00771876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Вопросы, относящиеся к высокоскоростным судам</w:t>
      </w:r>
    </w:p>
    <w:p w:rsidR="00771876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Напоминая о срочности вступления в силу обязательного инструмента, регулирующего безопасную перевозку производственного персонала, Группа пришла к соглашению, что в случае, если работа не будет завершена на 8 сессии Подкомитета SDC, проект главы XV не сможет вступить в силу в 2024 г. </w:t>
      </w:r>
    </w:p>
    <w:p w:rsidR="00771876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Таким образом, потребуется рассмотреть возможность выполнения работы в два этапа (т.</w:t>
      </w:r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е.</w:t>
      </w:r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второй этап для судов, сертифицированных в соответствии с главой X Конвенции СОЛАС), подчеркнув, что первоначальная цель состоит в своевременной разработке полного пакета обязательных инструментов для перевозки производственного персонала для его вступления в силу в 2024 г.</w:t>
      </w:r>
    </w:p>
    <w:p w:rsidR="00771876" w:rsidRPr="00BE74D6" w:rsidRDefault="003820C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установила двухэтапный подход к работе по разработке обязательных положений, касающихся стандартов безопасности для перевозки производственного персонала, в случае, если работа по вопросам, относящимся к высокоскоростным судам, не будет завершена на 8 сессии Подкомитета SDC с целью отправки на 102 сессию КБМ для одобрения.</w:t>
      </w:r>
    </w:p>
    <w:p w:rsidR="00771876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Информация от Подкомитета по человеческому фактору, подготовке моряков и несению вахты</w:t>
      </w:r>
      <w:r w:rsidR="004840A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28782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(</w:t>
      </w: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Подкомитета HTW</w:t>
      </w:r>
      <w:r w:rsidR="0028782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</w:p>
    <w:p w:rsidR="00771876" w:rsidRPr="00BE74D6" w:rsidRDefault="00DA7789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Делегация Франции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поддерж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ке делегации Багамских островов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выразила мнение, что человеческий фактор является важным вопросом и предложила, что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бы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 HTW </w:t>
      </w:r>
      <w:r w:rsidR="00653E94">
        <w:rPr>
          <w:rFonts w:ascii="Times New Roman" w:eastAsia="Times New Roman" w:hAnsi="Times New Roman" w:cs="Times New Roman"/>
          <w:sz w:val="24"/>
          <w:szCs w:val="24"/>
          <w:lang w:bidi="ru-RU"/>
        </w:rPr>
        <w:t>был</w:t>
      </w:r>
      <w:r w:rsidR="00692250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проинформирован о проделанной работе по данному вопросу на Рабочей группе.</w:t>
      </w:r>
    </w:p>
    <w:p w:rsidR="00771876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Перевозка опасных грузов на судах, перевозящих промышленный персонал</w:t>
      </w:r>
    </w:p>
    <w:p w:rsidR="00771876" w:rsidRPr="00BE74D6" w:rsidRDefault="003820C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пришла к соглашению по вопросу основных принципов, в соответствии с которыми были разработаны функциональные требования и Правила:</w:t>
      </w:r>
    </w:p>
    <w:p w:rsidR="00771876" w:rsidRPr="00BE74D6" w:rsidRDefault="00771876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производственный персонал не занят в обработке опасных грузов; и</w:t>
      </w:r>
    </w:p>
    <w:p w:rsidR="00771876" w:rsidRPr="00BE74D6" w:rsidRDefault="00771876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опасные грузы, принесенные на борт производственным персоналом для их применения в деятельности на</w:t>
      </w:r>
      <w:r w:rsidR="00287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платформах/месторождениях</w:t>
      </w:r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>, в целях проекта Кодекса IP,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считаются грузом.</w:t>
      </w:r>
    </w:p>
    <w:p w:rsidR="00771876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Завершив работу над проектом поправок к цепям, функциональным требованиям и Правилам перевозки опасных грузов, 7 сессия Подкомитета SDC направила проект этих поправок на 7 сессию Подкомитета ИМО по перевозке грузов и контейнеров/Подкомитета ССС для информации, а также на 26 сессию ESPH для последующего согласования.</w:t>
      </w:r>
    </w:p>
    <w:p w:rsidR="003B2CE9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поправок к главе II-1 Конвенции СОЛАС для включения требований к датчикам уровня воды на грузовых судах с несколькими грузовыми трюмами, не относящихся к категории навалочных судов</w:t>
      </w:r>
    </w:p>
    <w:p w:rsidR="003B2CE9" w:rsidRPr="00BE74D6" w:rsidRDefault="003B2CE9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FE79A4">
        <w:rPr>
          <w:rFonts w:ascii="Times New Roman" w:eastAsia="Times New Roman" w:hAnsi="Times New Roman" w:cs="Times New Roman"/>
          <w:sz w:val="24"/>
          <w:szCs w:val="24"/>
          <w:lang w:bidi="ru-RU"/>
        </w:rPr>
        <w:t>связи с аварийным случаем судна</w:t>
      </w:r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>El</w:t>
      </w:r>
      <w:proofErr w:type="spellEnd"/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DA7789">
        <w:rPr>
          <w:rFonts w:ascii="Times New Roman" w:eastAsia="Times New Roman" w:hAnsi="Times New Roman" w:cs="Times New Roman"/>
          <w:sz w:val="24"/>
          <w:szCs w:val="24"/>
          <w:lang w:bidi="ru-RU"/>
        </w:rPr>
        <w:t>Faro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 сессия Подкомитета SDC рассмотрела предложение США расширить область применения Правила II-1/25 Конвенции СОЛАС, которое в настоящий момент применимо к грузовым судам с одним трюмом, для включения грузовых судов с несколькими грузовыми трюмами в целях нового Правила II-1/25-1 Конвенции СОЛАС.</w:t>
      </w:r>
    </w:p>
    <w:p w:rsidR="003B2CE9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начал обсуждение различий между существующим Правилом II-1/25 в отношении датчиков уровня воды на грузовых судах с одним трюмом, не относящихся к категории навалочных судов, и предлагаемым новым Правилом II-1/25-1 в отношении датчиков уровня воды на судах с несколькими грузовыми трюмами, не относящимся к категории навалочных судов. </w:t>
      </w:r>
    </w:p>
    <w:p w:rsidR="003B2CE9" w:rsidRPr="00BE74D6" w:rsidRDefault="00692250" w:rsidP="00BE74D6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Обсуждение первоначально фокусировалось на применении стандарта остойчивости в поврежденном состоянии и конструкции корпуса. В этом отношении 7 сессия Подкомитета SDC согласилась, что проект нового Правила 25-1 был обоснованным вкладом в повышение безопасности, который должен применяться вне зависимости от того, соответствует ли судно требованиям к остойчивости в поврежденном состоянии или к конструкции корпуса. </w:t>
      </w:r>
    </w:p>
    <w:p w:rsidR="003B2CE9" w:rsidRPr="00BE74D6" w:rsidRDefault="003820C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 сессия Подкомитета SDC согласилась с проектом нового Правила II-1/25-1 Конвенции СОЛАС с целью представления его на 102 сессию КБМ для одобрения и последующего принятия по датчикам уровня воды на грузовых судах с несколькими трюмами, не относящимися к категории навалочных судов и танкеров.</w:t>
      </w:r>
    </w:p>
    <w:p w:rsidR="009A5517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Положения в отношении Технологий дистанционных проверок (RIT)</w:t>
      </w:r>
    </w:p>
    <w:p w:rsidR="009A5517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представила на 7 сессию Подкомитета SDC проект поправок к Кодексу ПРО/ESP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Code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2011 г. с целью разрешить использование технологий дистанционных проверок (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RITs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), таких как подводны</w:t>
      </w:r>
      <w:r w:rsidR="00ED19A9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телеуправляемы</w:t>
      </w:r>
      <w:r w:rsidR="00ED19A9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аппарат</w:t>
      </w:r>
      <w:r w:rsidR="00ED19A9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ROVs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2D3CE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измерительные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устройств</w:t>
      </w:r>
      <w:r w:rsidR="002D3CE3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реального времени, которые переносятся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дронами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освидетельствовании существующих судов в качестве альтернативы детальному освидетельствованию.</w:t>
      </w:r>
    </w:p>
    <w:p w:rsidR="009A5517" w:rsidRPr="00BE74D6" w:rsidRDefault="009A5517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решила, что</w:t>
      </w:r>
      <w:r w:rsidR="0089721D">
        <w:rPr>
          <w:rFonts w:ascii="Times New Roman" w:eastAsia="Times New Roman" w:hAnsi="Times New Roman" w:cs="Times New Roman"/>
          <w:sz w:val="24"/>
          <w:szCs w:val="24"/>
          <w:lang w:bidi="ru-RU"/>
        </w:rPr>
        <w:t>, не смотря на то, что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использование RIT для освидетельствований в соответствии с Кодексом ПРО 2011 г. </w:t>
      </w:r>
      <w:r w:rsidR="0089721D">
        <w:rPr>
          <w:rFonts w:ascii="Times New Roman" w:eastAsia="Times New Roman" w:hAnsi="Times New Roman" w:cs="Times New Roman"/>
          <w:sz w:val="24"/>
          <w:szCs w:val="24"/>
          <w:lang w:bidi="ru-RU"/>
        </w:rPr>
        <w:t>в целом поддерживается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89721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вопрос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требует более широкого рассмотрения и поэтому Организация может принять решение о комплексном подходе к регулированию RIT, включая другие инструменты</w:t>
      </w:r>
      <w:r w:rsidR="002D3CE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ИМО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помимо Кодекса ПРО.</w:t>
      </w:r>
    </w:p>
    <w:p w:rsidR="009A5517" w:rsidRPr="00BE74D6" w:rsidRDefault="009A5517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согласилась призвать заинтересованные государства-участники и международные организации представить Подкомитету предложения по данному вопросу.</w:t>
      </w:r>
    </w:p>
    <w:p w:rsidR="009A5517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Замеры толщин во время первого возобновляющего освидетельствования нефтеналивных танкеров с двойным корпусом </w:t>
      </w:r>
    </w:p>
    <w:p w:rsidR="009A5517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МАКО представила поправки к приложению 2 части А приложения В к Кодексу ПРО 2011 г. с поправками, внесенными Резолюцией MSC.461(101), которых будет достаточно для рассмотрения только сомнительных районов для замеров толщин на первом возобновляющем освидетельствовании нефтеналивных танкеров с двойным корпусом.</w:t>
      </w:r>
    </w:p>
    <w:p w:rsidR="00EC2F30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определения </w:t>
      </w:r>
      <w:r w:rsidR="002041AC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необходимости дальнейшего сохранения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</w:t>
      </w:r>
      <w:r w:rsidR="00C4628A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2041AC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C462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выполнению замеров толщин </w:t>
      </w:r>
      <w:r w:rsidR="002041A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всех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районов, устан</w:t>
      </w:r>
      <w:r w:rsidR="00C4628A">
        <w:rPr>
          <w:rFonts w:ascii="Times New Roman" w:eastAsia="Times New Roman" w:hAnsi="Times New Roman" w:cs="Times New Roman"/>
          <w:sz w:val="24"/>
          <w:szCs w:val="24"/>
          <w:lang w:bidi="ru-RU"/>
        </w:rPr>
        <w:t>овленных в Кодексе ПРО 2011 г.</w:t>
      </w:r>
      <w:r w:rsidR="002041AC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C462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собрала данные от обществ-членов МАКО. </w:t>
      </w:r>
    </w:p>
    <w:p w:rsidR="00EC2F30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Фактическая убыль, о которой сообщалось в ходе первого возобновляющего освидетельствования, была определена путем случайной выборки 157 </w:t>
      </w:r>
      <w:proofErr w:type="spell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нефтетанкеров</w:t>
      </w:r>
      <w:proofErr w:type="spell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двойным корпусом с грузовыми танками, которые были полностью покрыты, частично покрыты или не имели </w:t>
      </w:r>
      <w:r w:rsidR="002041A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защитного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покрытия.</w:t>
      </w:r>
    </w:p>
    <w:p w:rsidR="00EC2F30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Данные показали, что обычный диапазон подтвер</w:t>
      </w:r>
      <w:r w:rsidR="00FF37DC">
        <w:rPr>
          <w:rFonts w:ascii="Times New Roman" w:eastAsia="Times New Roman" w:hAnsi="Times New Roman" w:cs="Times New Roman"/>
          <w:sz w:val="24"/>
          <w:szCs w:val="24"/>
          <w:lang w:bidi="ru-RU"/>
        </w:rPr>
        <w:t>жденной убыли был минимальным и в среднем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находился в диапазоне приблизительно от нуля до трех процентов. </w:t>
      </w:r>
    </w:p>
    <w:p w:rsidR="00EC2F30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Даже при рассмотрении локализованных предельных значений максимальная подтвержденная убыль составила 11</w:t>
      </w:r>
      <w:r w:rsidR="00FF37DC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%, что по-прежнему ниже уровня значительной коррозии. 7 сессия Подкомитета SDC согласовала проект поправок для представления на 102 сессию КБМ с целью одобрения и последующего принятия. </w:t>
      </w:r>
    </w:p>
    <w:p w:rsidR="00EF47EB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поправок к Правилу 28.3.1 Приложения 1 к Конвенции МАРПОЛ, Правила 27(13)(а) Протокола 1988 г. в отношении Международной конвенции о грузовой марке, 1966 г., пункта 2.9.2.1 Кодекса IBC и пункта 2.7.1.1 Кодекса IGC в отношении дверей в водонепроницаемых переборках</w:t>
      </w:r>
    </w:p>
    <w:p w:rsidR="00321A8C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МАКО предложила согласовать требования в отношении дверей в герметичных переборках в различных инструментах ИМО с требованиями Конвенции СОЛАС путем внесения поправок в Приложение I к Конвенции МАРПОЛ, Конвенции о грузовой марке 1966 г., а также Кодексов IBC и IGC путем очевидного исключения «навесных водонепроницаемых дверей, которые обычно закрыты в море» при рассмотрении отверстий, через которые может произойти прогрессирующее затопление или заливание.</w:t>
      </w:r>
    </w:p>
    <w:p w:rsidR="00321A8C" w:rsidRPr="00BE74D6" w:rsidRDefault="00692250" w:rsidP="00BE74D6">
      <w:pPr>
        <w:pStyle w:val="NoSpacing"/>
        <w:spacing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 разработки Изм. 1 к УИ SC156, которое было представлено МАКО на 6 сессию Подкомитета SDC (SDC6/9/1, приложение), МАКО отметила следующие несоответствия между требованиями Конвенций СОЛАС, МАРПОЛ и Конвенции о грузовой марке, Международного Кодекса постройки и оборудования судов, перевозящих опасные химические грузы наливом (Кодекса IBC) и Международного Кодекса постройки и оборудования судов, перевозящих сжиженные газы наливом (Кодекса IGC).</w:t>
      </w:r>
    </w:p>
    <w:p w:rsidR="00321A8C" w:rsidRPr="00BE74D6" w:rsidRDefault="00321A8C" w:rsidP="00BE74D6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- Правило II-1/13-1.2 Конвенции СОЛАС требует, чтобы герметичные двери, используемые в море, были скользящего типа; с одной стороны двери, которые нормально закрыты в море, не обязательно должны быть скользящего типа, т.</w:t>
      </w:r>
      <w:r w:rsidR="0067445A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е. они могут быть «навесного» типа (Правило II-1/13-1.3 Конвенции СОЛАС);</w:t>
      </w:r>
    </w:p>
    <w:p w:rsidR="00321A8C" w:rsidRPr="00BE74D6" w:rsidRDefault="0075691E" w:rsidP="00BE74D6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если</w:t>
      </w:r>
      <w:r w:rsidR="00321A8C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расчетах остойчивости по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врежденного судна</w:t>
      </w:r>
      <w:r w:rsidR="00321A8C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герметичные двери рассматриваются как погруженные, то:</w:t>
      </w:r>
    </w:p>
    <w:p w:rsidR="00321A8C" w:rsidRPr="00BE74D6" w:rsidRDefault="00321A8C" w:rsidP="00BE74D6">
      <w:pPr>
        <w:pStyle w:val="NoSpacing"/>
        <w:spacing w:line="233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Правило 28.3.1 Приложения 1 Конвенции МАРПОЛ требует, чтобы такие двери были скользящего типа; аналогичное требование появляется в пункте 2.9.2.1 Кодекса IBC и пункте 2.7.1.1 Кодекса IGC; и</w:t>
      </w:r>
    </w:p>
    <w:p w:rsidR="00321A8C" w:rsidRPr="00BE74D6" w:rsidRDefault="00321A8C" w:rsidP="00BE74D6">
      <w:pPr>
        <w:pStyle w:val="NoSpacing"/>
        <w:spacing w:line="233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Правило 27(13)(а) Конвенции о грузовой марке требует, чтобы герметичные двери были скользящего типа, за исключением дверей, отделяющих главное помещение механизмов от румпельного отделения, где они могут быть навесного типа.</w:t>
      </w:r>
    </w:p>
    <w:p w:rsidR="00321A8C" w:rsidRPr="00BE74D6" w:rsidRDefault="0069225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В дополнение к этом</w:t>
      </w:r>
      <w:r w:rsidR="0075691E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предложенные Китаем поправки к Приложению I к Конвенции МАРПОЛ, Конвенции о грузовой марке 1966 г., Кодексам IBC и IGC в отношении навесных герметичных дверей в качестве альтернативы скользящих дверей с дистанционным управлением предусматривают, что они «должны быть постоянно закрыты» в море, должны иметь аналогичный уровень водонепроницаемости и быть оборудованы устройством звуковой сигнализации.</w:t>
      </w:r>
    </w:p>
    <w:p w:rsidR="00321A8C" w:rsidRPr="00BE74D6" w:rsidRDefault="003820C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согласовала проект поправок к Правилу 28.3.1 Приложения 1 Конвенции МАРПОЛ, Правилу 27(13)(а) Протокола 1988 г. в отношении Международной Конвенции о грузовой марке, 1966 г., пункт 2.9.2.1 Кодекса IBC и пункт 2.7.1.1 Кодекса IGC, который должен применяться только к новым судам, для представления Комитетам </w:t>
      </w:r>
      <w:r w:rsidR="00210E50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одобрени</w:t>
      </w:r>
      <w:r w:rsidR="00210E50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по </w:t>
      </w:r>
      <w:r w:rsidR="00210E50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необходимости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, и последующего прин</w:t>
      </w:r>
      <w:r w:rsidR="00236A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ятия с целью вступления в силу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1 января 2024 г.</w:t>
      </w:r>
    </w:p>
    <w:p w:rsidR="00321A8C" w:rsidRPr="00BE74D6" w:rsidRDefault="0069225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отметил, что требование в Правиле II-1/13-1.3 Конвенции СОЛАС, допускающем навесные водонепроницаемые двери, которые нормально закрыты в море, ограничивается «входными дверями». </w:t>
      </w:r>
    </w:p>
    <w:p w:rsidR="00321A8C" w:rsidRPr="00BE74D6" w:rsidRDefault="00321A8C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согласилась, что ограничение «входные двери» должно быть включено в тек</w:t>
      </w:r>
      <w:r w:rsidR="00236A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 поправки, </w:t>
      </w:r>
      <w:r w:rsidR="00210E50">
        <w:rPr>
          <w:rFonts w:ascii="Times New Roman" w:eastAsia="Times New Roman" w:hAnsi="Times New Roman" w:cs="Times New Roman"/>
          <w:sz w:val="24"/>
          <w:szCs w:val="24"/>
          <w:lang w:bidi="ru-RU"/>
        </w:rPr>
        <w:t>учитывая</w:t>
      </w:r>
      <w:r w:rsidR="00236A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термин «входные двери» был неясен и поэтому должен быть уточнен для обеспечения согласованного применения.</w:t>
      </w:r>
    </w:p>
    <w:p w:rsidR="00063876" w:rsidRPr="00BE74D6" w:rsidRDefault="00210E5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Корректировка</w:t>
      </w:r>
      <w:r w:rsidR="00692250"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Руководства</w:t>
      </w:r>
      <w:r w:rsidR="00692250"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безопасному доступу на носовую часть танкеров (Резолюция MSC.62(67)) в отношении </w:t>
      </w:r>
      <w:r w:rsidR="005A4E4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упоров для ног</w:t>
      </w:r>
    </w:p>
    <w:p w:rsidR="00063876" w:rsidRPr="00BE74D6" w:rsidRDefault="003820C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SDC рассмотрела предложение МАКО по внесению поправок в Руководство по безопасному доступу на носовую часть танкеров (Резолюция MSC.62(67)) в отношении </w:t>
      </w:r>
      <w:r w:rsidR="005A4E4C">
        <w:rPr>
          <w:rFonts w:ascii="Times New Roman" w:eastAsia="Times New Roman" w:hAnsi="Times New Roman" w:cs="Times New Roman"/>
          <w:sz w:val="24"/>
          <w:szCs w:val="24"/>
          <w:lang w:bidi="ru-RU"/>
        </w:rPr>
        <w:t>упоров для ног</w:t>
      </w:r>
      <w:r w:rsidR="005A4E4C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целью повторения соответствующего обязательного положения по </w:t>
      </w:r>
      <w:r w:rsidR="005A4E4C">
        <w:rPr>
          <w:rFonts w:ascii="Times New Roman" w:eastAsia="Times New Roman" w:hAnsi="Times New Roman" w:cs="Times New Roman"/>
          <w:sz w:val="24"/>
          <w:szCs w:val="24"/>
          <w:lang w:bidi="ru-RU"/>
        </w:rPr>
        <w:t>упорам для ног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Правиле 25-1(</w:t>
      </w:r>
      <w:proofErr w:type="gramStart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2)(</w:t>
      </w:r>
      <w:proofErr w:type="gramEnd"/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е) и (f) Международной Конвенции о грузовой марке 1966 г.</w:t>
      </w:r>
    </w:p>
    <w:p w:rsidR="00063876" w:rsidRPr="00BE74D6" w:rsidRDefault="00063876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согласилась с проектом поправок к Руководству по безопасному доступу на носовую часть танкеров (Резолюция MSC.62(67)) для представления на 102 сессию КБМ для принятия в качестве незначительных изменений для распространения в форме Резолюции MSC.62(67) Изм.1.</w:t>
      </w:r>
    </w:p>
    <w:p w:rsidR="00063876" w:rsidRPr="00BE74D6" w:rsidRDefault="0069225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Незначительные изменения в Протокол 1988 г. по грузовой марке</w:t>
      </w:r>
    </w:p>
    <w:p w:rsidR="00C37D93" w:rsidRPr="00BE74D6" w:rsidRDefault="003820C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SDC согласовала проект поправок к Протоколу о грузовой марке 1988 г. для представления 102 сессии КБМ для одобрения с целью последующего принятия с незначительными изменениями. Он состоит в удалении ссылок на «впускные отверстия» в тексте, что является редакторской ошибкой.</w:t>
      </w:r>
    </w:p>
    <w:p w:rsidR="00C37D93" w:rsidRPr="00BE74D6" w:rsidRDefault="00C37D93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D93" w:rsidRPr="00BE74D6" w:rsidRDefault="00692250" w:rsidP="00BE74D6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Корреспондентская группа, основанная на 7 сессии Подкомитета SDC</w:t>
      </w:r>
    </w:p>
    <w:p w:rsidR="00C37D93" w:rsidRPr="00BE74D6" w:rsidRDefault="00692250" w:rsidP="00BE74D6">
      <w:pPr>
        <w:pStyle w:val="NoSpacing"/>
        <w:numPr>
          <w:ilvl w:val="0"/>
          <w:numId w:val="2"/>
        </w:numPr>
        <w:spacing w:line="233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Корреспондентская группа по остойчивости неповрежденного судна (IS)</w:t>
      </w:r>
    </w:p>
    <w:p w:rsidR="00C37D93" w:rsidRPr="00BE74D6" w:rsidRDefault="00C37D93" w:rsidP="00BE74D6">
      <w:pPr>
        <w:pStyle w:val="NoSpacing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Техническое задание:</w:t>
      </w:r>
    </w:p>
    <w:p w:rsidR="00C37D93" w:rsidRPr="00BE74D6" w:rsidRDefault="00C37D93" w:rsidP="00BE74D6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дальнейшая разработка проекта Пояснительных </w:t>
      </w:r>
      <w:r w:rsidR="0005490A">
        <w:rPr>
          <w:rFonts w:ascii="Times New Roman" w:eastAsia="Times New Roman" w:hAnsi="Times New Roman" w:cs="Times New Roman"/>
          <w:sz w:val="24"/>
          <w:szCs w:val="24"/>
          <w:lang w:bidi="ru-RU"/>
        </w:rPr>
        <w:t>записок</w:t>
      </w:r>
      <w:r w:rsidR="0005490A"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критериям остойчивости неповрежденного судна второго поколения; </w:t>
      </w:r>
    </w:p>
    <w:p w:rsidR="00C37D93" w:rsidRPr="00BE74D6" w:rsidRDefault="00C37D93" w:rsidP="00C37D9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- структура текста проекта</w:t>
      </w:r>
      <w:r w:rsidR="00236AC5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аналогичная пунктам/разделам проекта временного руководства.</w:t>
      </w:r>
    </w:p>
    <w:p w:rsidR="00C37D93" w:rsidRPr="00BE74D6" w:rsidRDefault="00C37D93" w:rsidP="00C37D9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2. Корреспондентская группа по производственному персоналу</w:t>
      </w:r>
    </w:p>
    <w:p w:rsidR="00C37D93" w:rsidRPr="00BE74D6" w:rsidRDefault="00C37D93" w:rsidP="00C37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Техническое задание:</w:t>
      </w:r>
    </w:p>
    <w:p w:rsidR="00C37D93" w:rsidRPr="00BE74D6" w:rsidRDefault="00C37D93" w:rsidP="00C37D93">
      <w:pPr>
        <w:pStyle w:val="NoSpacing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дальнейшая разработка проекта Кодекса по производственному персоналу/Кодекса IP с целью его завершения;</w:t>
      </w:r>
    </w:p>
    <w:p w:rsidR="00C37D93" w:rsidRPr="00BE74D6" w:rsidRDefault="00C37D93" w:rsidP="00C37D9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дальнейшее рассмотрение новой главы XV Конвенции СОЛАС по вопросам, относящимся к высокоскоростным судам; </w:t>
      </w:r>
    </w:p>
    <w:p w:rsidR="00E24C89" w:rsidRPr="00BE74D6" w:rsidRDefault="00C37D93" w:rsidP="00C37D9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eastAsia="Times New Roman" w:hAnsi="Times New Roman" w:cs="Times New Roman"/>
          <w:sz w:val="24"/>
          <w:szCs w:val="24"/>
          <w:lang w:bidi="ru-RU"/>
        </w:rPr>
        <w:t>- дальнейшее рассмотрение проекта части IV (Дополнительные правила для судов, сертифицированных в соответствии с главой X Конвенции СОЛАС) проекта Кодекса IP.</w:t>
      </w:r>
    </w:p>
    <w:p w:rsidR="004D48BB" w:rsidRPr="00BE74D6" w:rsidRDefault="004D48BB" w:rsidP="00B865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48BB" w:rsidRPr="00BE74D6" w:rsidRDefault="004D48BB" w:rsidP="00B865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D48BB" w:rsidRPr="00BE74D6" w:rsidSect="0037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9D1"/>
    <w:multiLevelType w:val="hybridMultilevel"/>
    <w:tmpl w:val="85CA0E3E"/>
    <w:lvl w:ilvl="0" w:tplc="FF4EF4F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71479E"/>
    <w:multiLevelType w:val="hybridMultilevel"/>
    <w:tmpl w:val="E6E8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50"/>
    <w:rsid w:val="00045008"/>
    <w:rsid w:val="0005490A"/>
    <w:rsid w:val="00063876"/>
    <w:rsid w:val="0012643E"/>
    <w:rsid w:val="00167513"/>
    <w:rsid w:val="001866B8"/>
    <w:rsid w:val="001D2C2D"/>
    <w:rsid w:val="002041AC"/>
    <w:rsid w:val="00210E50"/>
    <w:rsid w:val="00236AC5"/>
    <w:rsid w:val="0024730E"/>
    <w:rsid w:val="0028168C"/>
    <w:rsid w:val="0028782C"/>
    <w:rsid w:val="002A1D3B"/>
    <w:rsid w:val="002D3CE3"/>
    <w:rsid w:val="00321A8C"/>
    <w:rsid w:val="0036491B"/>
    <w:rsid w:val="00376CD1"/>
    <w:rsid w:val="003820C0"/>
    <w:rsid w:val="00384C24"/>
    <w:rsid w:val="003B2CE9"/>
    <w:rsid w:val="003F128D"/>
    <w:rsid w:val="003F2B99"/>
    <w:rsid w:val="004308D5"/>
    <w:rsid w:val="004840A4"/>
    <w:rsid w:val="004D48BB"/>
    <w:rsid w:val="005140F6"/>
    <w:rsid w:val="005343EA"/>
    <w:rsid w:val="005409D2"/>
    <w:rsid w:val="00562139"/>
    <w:rsid w:val="005A4E4C"/>
    <w:rsid w:val="00653E94"/>
    <w:rsid w:val="0067445A"/>
    <w:rsid w:val="00692250"/>
    <w:rsid w:val="006A0607"/>
    <w:rsid w:val="006E142D"/>
    <w:rsid w:val="0073060C"/>
    <w:rsid w:val="00747922"/>
    <w:rsid w:val="0075654F"/>
    <w:rsid w:val="0075691E"/>
    <w:rsid w:val="00771876"/>
    <w:rsid w:val="00821EA8"/>
    <w:rsid w:val="00832013"/>
    <w:rsid w:val="0089721D"/>
    <w:rsid w:val="0090531A"/>
    <w:rsid w:val="009A5517"/>
    <w:rsid w:val="00A64BB9"/>
    <w:rsid w:val="00AB206D"/>
    <w:rsid w:val="00AE0BB9"/>
    <w:rsid w:val="00AE23D9"/>
    <w:rsid w:val="00B25313"/>
    <w:rsid w:val="00B358D1"/>
    <w:rsid w:val="00B64309"/>
    <w:rsid w:val="00B86568"/>
    <w:rsid w:val="00BE74D6"/>
    <w:rsid w:val="00C37D93"/>
    <w:rsid w:val="00C4628A"/>
    <w:rsid w:val="00CE17A4"/>
    <w:rsid w:val="00D22033"/>
    <w:rsid w:val="00D627E0"/>
    <w:rsid w:val="00DA7789"/>
    <w:rsid w:val="00DC12E3"/>
    <w:rsid w:val="00DF505A"/>
    <w:rsid w:val="00E24C89"/>
    <w:rsid w:val="00E46F17"/>
    <w:rsid w:val="00E67245"/>
    <w:rsid w:val="00E8614A"/>
    <w:rsid w:val="00EC2F30"/>
    <w:rsid w:val="00ED19A9"/>
    <w:rsid w:val="00EF47EB"/>
    <w:rsid w:val="00F07DD9"/>
    <w:rsid w:val="00F53575"/>
    <w:rsid w:val="00F9242A"/>
    <w:rsid w:val="00FE79A4"/>
    <w:rsid w:val="00FF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8246-3921-4CFC-BC3F-3DEE7F9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2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4060</Words>
  <Characters>23144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27150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s217</dc:creator>
  <cp:lastModifiedBy>Мусонов Михаил Владимирович</cp:lastModifiedBy>
  <cp:revision>3</cp:revision>
  <dcterms:created xsi:type="dcterms:W3CDTF">2020-06-29T06:10:00Z</dcterms:created>
  <dcterms:modified xsi:type="dcterms:W3CDTF">2020-06-29T06:15:00Z</dcterms:modified>
</cp:coreProperties>
</file>