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6BF0" w14:textId="77777777" w:rsidR="0000507C" w:rsidRPr="00AC6D31" w:rsidRDefault="004D721A" w:rsidP="004D72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76 сессия КЗМС</w:t>
      </w:r>
    </w:p>
    <w:p w14:paraId="586E798D" w14:textId="77777777" w:rsidR="0000507C" w:rsidRPr="00AC6D31" w:rsidRDefault="0000507C" w:rsidP="000050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Семьдесят шестая сессия Комитета по защите морской среды (MEPC 76) была проведена дистанционно с 10 по 17 июня 2021 г.</w:t>
      </w:r>
    </w:p>
    <w:p w14:paraId="7FE632FE" w14:textId="77777777" w:rsidR="003D779C" w:rsidRDefault="003D779C" w:rsidP="008A56EA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4AF436DC" w14:textId="63B70921" w:rsidR="008A56EA" w:rsidRPr="00AC6D31" w:rsidRDefault="0000507C" w:rsidP="008A56E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56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Поправки к Приложению VI к Конвенции </w:t>
      </w:r>
      <w:r w:rsidRPr="00287867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МАРПОЛ – EEXI и CII</w:t>
      </w:r>
    </w:p>
    <w:p w14:paraId="15E96054" w14:textId="77777777" w:rsidR="0000507C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 одобрила Резолюцию MEPC.328(76), вносящую поправки в Приложение VI к Конвенции МАРПОЛ в отношении обязательных целевых технических и эксплуатационных мер по сокращению интенсивности выбросов углерода в атмосферу в международном судоходстве (EEXI и CII).</w:t>
      </w:r>
    </w:p>
    <w:p w14:paraId="35213827" w14:textId="77777777" w:rsidR="0000507C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Эти поправки считаются принятыми с 1 мая 2022 г. и вступят в силу с 1 ноября 2022 г.</w:t>
      </w:r>
    </w:p>
    <w:p w14:paraId="56740E80" w14:textId="77777777" w:rsidR="004D721A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рассмотрела предложение об исключении для судов ледового класса в проекте поправок к Приложению VI к МАРПОЛ. </w:t>
      </w:r>
    </w:p>
    <w:p w14:paraId="3D5D38A4" w14:textId="77777777" w:rsidR="004D721A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Эксплуатационные причины касаются того факта, что суда ледового класса расходуют больше топлива при навигации во льдах, чем аналогичные суда в условиях открытой воды, что может иметь значительное влияние на достигаемый ими уровень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(CII). </w:t>
      </w:r>
    </w:p>
    <w:p w14:paraId="3C52B3E2" w14:textId="3DE7EBA1" w:rsidR="0000507C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приняла решение, что данный вопрос должен быть рассмотрен в ходе обсуждения в отношении корректирующих факторов/исключений 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>определенных 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ейсов, которое ведется в рамках отдельной Корреспондентской группы.</w:t>
      </w:r>
    </w:p>
    <w:p w14:paraId="4BCBC9CE" w14:textId="7E614AF6" w:rsidR="004D721A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 соответствии с проектом правила 22B.3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предполагалось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что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случае смены флага/компании достиг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>нутый показатель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CII судна за период календарного года, предшествующий передаче, должен быть задокументирован и подтвержден, на основании чего должен быть назначен эксплуатационный 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>рейтинг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такого судна для применения в качестве ежегодного уровня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 следующего ежегодного подтверждения.  </w:t>
      </w:r>
    </w:p>
    <w:p w14:paraId="6409C278" w14:textId="7087F7FC" w:rsidR="0000507C" w:rsidRPr="00AC6D31" w:rsidRDefault="0000507C" w:rsidP="004D72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Во избежание увеличения нежелательной административной нагрузки и для обеспечения последовательного соответствия 76 сессия КЗМС пришла к соглашению, что достиг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нутый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CII, а также 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рейтинг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CII будут основываться на данных полного календарного года.</w:t>
      </w:r>
    </w:p>
    <w:p w14:paraId="65765F3E" w14:textId="69DB780E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Несмотря на то, что этот вопрос будет более подробно рассмотрен в 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подлежащем разработке </w:t>
      </w:r>
      <w:r w:rsidR="00E0127C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уководстве по вычислению CII в случае смены Администрации или компании, 76 сессия КЗМС пришла к соглашению, что необходимо осуществить некоторые изменения в рамках имеющихся поправок для рассмотрения некоторых определенных моментов и, в частности, уточнить, что каждое судно производит вычисление 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достигнутого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ежегодного показателя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(CII) по 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полному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календарному году, даже в случаях, когда судно меняет Администраци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или компании в середине года.</w:t>
      </w:r>
    </w:p>
    <w:p w14:paraId="0930ABB6" w14:textId="59E2B92D" w:rsidR="008A56EA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Текст правил 6.6 - 6.8 в отношении Декларации о 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оответствии был пересмотрен для его согласования с изменениями правила 28.3. </w:t>
      </w:r>
    </w:p>
    <w:p w14:paraId="2B3824F5" w14:textId="28C0EB7A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также приняла ряд изменений к правилу 26 для приведения 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текста,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относящегося к План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 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правления </w:t>
      </w:r>
      <w:proofErr w:type="spellStart"/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Э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нергоэффективностью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удна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SEEMP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в соответствие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согласованными изменениями правила 28.3.</w:t>
      </w:r>
    </w:p>
    <w:p w14:paraId="13D2542E" w14:textId="77777777" w:rsidR="008A56EA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Комитет обратил внимание на сомнения в отношении расчета CII, в особенности для нового судна, сданного после 1 января в течение года</w:t>
      </w:r>
      <w:r w:rsidR="00325A43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или судна, которое было приобретено по судебной продаже, при отсутствии информации о судне; или для судна, когда Администрация, несущая ответственность за расчет CII после 31 декабря, не подтвердила данные, представленные за предшествующий год в целом, и не получила копию таких данных на момент передачи предыдущей Администрацией.  </w:t>
      </w:r>
    </w:p>
    <w:p w14:paraId="06F42807" w14:textId="2551A662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Для решения этого вопроса 76 сессия КЗМС приняла новый пункт 10bis правила 27 для разъяснения того, что Генеральный секретарь ИМО гара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нтирует доступ Администрации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судн</w:t>
      </w:r>
      <w:r w:rsidR="00B93901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к которому применимо правило 28, ко всем отчетным данным по предшествующему календарному году, необходимым для </w:t>
      </w:r>
      <w:proofErr w:type="gram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расчета  CII</w:t>
      </w:r>
      <w:proofErr w:type="gram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такого судна.</w:t>
      </w:r>
    </w:p>
    <w:p w14:paraId="3B7CE59F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0B93794A" w14:textId="3D3F2BB7" w:rsidR="008A56EA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56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Поправки к Приложению VI к Конвенции МАРПОЛ – освобождение барж БНС</w:t>
      </w:r>
    </w:p>
    <w:p w14:paraId="33A0C893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приняла Резолюцию MEPC.330(76), вносящую поправки в Приложение VI к МАРПОЛ, касающиеся освобождения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безэкипажных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несамоходных барж (барж БНС) от определенных требований по освидетельствованиям и свидетельствам.</w:t>
      </w:r>
    </w:p>
    <w:p w14:paraId="3A3B8E30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Эти поправки считаются принятыми с 1 мая 2022 г. и вступят в силу с 1 ноября 2022 г.</w:t>
      </w:r>
    </w:p>
    <w:p w14:paraId="19CA98AA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 дополнение к этому, 76 сессия КЗМС одобрила окончательный текст Руководства MEPC.1/Circ.892 в отношении освобождения барж БНС от требований по освидетельствованиям и свидетельствам.</w:t>
      </w:r>
    </w:p>
    <w:p w14:paraId="2B79CBD2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5C560731" w14:textId="4181CBF2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56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Поправки к Приложению I к Конвенции МАРПОЛ – Запрет на использование и перевозку тяжелого топлива в арктических водах</w:t>
      </w:r>
    </w:p>
    <w:p w14:paraId="6B5ED2AB" w14:textId="3CD70334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приняла Резолюцию MEPC.329(76), вносящую поправки в Приложение I к Конвенции МАРПОЛ в отношении запрета на использование </w:t>
      </w:r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>тяжелого топлива и его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перевозку</w:t>
      </w:r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качестве топлива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судах в арктических водах.</w:t>
      </w:r>
    </w:p>
    <w:p w14:paraId="2FC4CB3B" w14:textId="77777777" w:rsidR="0000507C" w:rsidRDefault="0000507C" w:rsidP="008A56E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Эти поправки считаются принятыми с 1 мая 2022 г. и вступят в силу с 1 ноября 2022 г.</w:t>
      </w:r>
    </w:p>
    <w:p w14:paraId="2BB5597F" w14:textId="54E4BD64" w:rsidR="0000507C" w:rsidRPr="00AC6D31" w:rsidRDefault="0000507C" w:rsidP="003D779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Некоторые делегаты выразили сомнения в отношении положений по исключениям и изъятиям, приведенным в пунктах 2 и 4 предлагаемой поправки, и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выступили с предложением удалить их из текста поправок для обеспечения надлежащей защиты арктической морской среды, но решение по этой точке зрения уже было принято на предыдущей сессии.</w:t>
      </w:r>
    </w:p>
    <w:p w14:paraId="0F52E21F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49C9A313" w14:textId="7A8D0702" w:rsidR="0000507C" w:rsidRPr="00AC6D31" w:rsidRDefault="00CB514B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Поправки к Конвенции AFS</w:t>
      </w:r>
    </w:p>
    <w:p w14:paraId="5781DF53" w14:textId="4FD4609A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 приняла Резолюцию MEPC.331(76), вносящую поправки в приложения I и IV к Международной Конвенции по контролю за вредными противообрастающими системами на судах (Конвенции AFS</w:t>
      </w:r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отношении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мер контроля </w:t>
      </w:r>
      <w:proofErr w:type="spellStart"/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>цибутрина</w:t>
      </w:r>
      <w:proofErr w:type="spellEnd"/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формы </w:t>
      </w:r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Свидетельства </w:t>
      </w:r>
      <w:r w:rsidR="00812629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IA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F</w:t>
      </w:r>
      <w:r w:rsidR="00812629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SC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S.</w:t>
      </w:r>
    </w:p>
    <w:p w14:paraId="2EECDA41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Эти поправки считаются принятыми с 1 мая 2022 г. и вступят в силу с 1 января 2023 г.</w:t>
      </w:r>
    </w:p>
    <w:p w14:paraId="4F7DB020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Правила о запрещении противообрастающих систем, содержащих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цибутрин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(также известный под промышленным названием Irgarol-1051)</w:t>
      </w:r>
      <w:r w:rsidR="00797FBF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будут применяться к судам с 1 января 2023 г. или, в отношении судов, уже имеющих такую противообрастающую систему, при первом запланированном обновлении противообрастающей системы после 1 января 2023 г., но не позднее чем через 60 месяцев, следующих за последним применением на судне такой противообрастающей системы.</w:t>
      </w:r>
    </w:p>
    <w:p w14:paraId="5D47EDBE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15E68DE9" w14:textId="79B9859E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A56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Показательный пример</w:t>
      </w:r>
      <w:r w:rsidR="00CB514B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 w:rsidRPr="008A56EA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лицензии на поставку топлива</w:t>
      </w:r>
    </w:p>
    <w:p w14:paraId="48DEE655" w14:textId="793D5516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проект поправок к Руководству по передовой практике для государства-участника/прибрежного государства, 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>в приложени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 которому с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одерж</w:t>
      </w:r>
      <w:r w:rsidR="00812629">
        <w:rPr>
          <w:rFonts w:ascii="Times New Roman" w:eastAsia="Times New Roman" w:hAnsi="Times New Roman" w:cs="Times New Roman"/>
          <w:sz w:val="26"/>
          <w:szCs w:val="26"/>
          <w:lang w:bidi="ru-RU"/>
        </w:rPr>
        <w:t>ится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показательный пример </w:t>
      </w:r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(образец)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лицензии на поставку топлива. </w:t>
      </w:r>
    </w:p>
    <w:p w14:paraId="2A3717AF" w14:textId="77777777" w:rsidR="0000507C" w:rsidRPr="00AC6D31" w:rsidRDefault="0000507C" w:rsidP="008A56E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Следует отметить, что данное руководство имеет необязательный характер.</w:t>
      </w:r>
    </w:p>
    <w:p w14:paraId="455BD421" w14:textId="2CCC31A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3099ACE9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3AA8405E" w14:textId="2B7868DE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221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Показатели </w:t>
      </w:r>
      <w:r w:rsidR="00CB514B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для </w:t>
      </w:r>
      <w:r w:rsidRPr="00AF2219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судов обеспечения платформ и морских контрактных судов, а также круизных пассажирских судов в соответствии с Системой сбора данных ИМО</w:t>
      </w:r>
    </w:p>
    <w:p w14:paraId="63BA2FE9" w14:textId="783E4E2D" w:rsidR="0000507C" w:rsidRPr="00AC6D31" w:rsidRDefault="0000507C" w:rsidP="000453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Корреспондентская группа (КГ) по предотвращению загрязнения воздушной среды 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рассмотрела возможные показатели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судов обеспечения платформ и морских контрактных судов, а также круизных пассажирских судов в соответствии с Системой сбора данных ИМО.</w:t>
      </w:r>
    </w:p>
    <w:p w14:paraId="030676CF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2849A859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24888357" w14:textId="2A08A25E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Суда обеспечения платформ и морские контрактные суда</w:t>
      </w:r>
    </w:p>
    <w:p w14:paraId="24236FE2" w14:textId="77777777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На данном этапе КГ не определила один показатель для судов обеспечения платформ и морских контрактных судов, но вместо этого рассмотрела следующие возможные варианты действий до определения показателя:</w:t>
      </w:r>
    </w:p>
    <w:p w14:paraId="7E87EB51" w14:textId="77777777" w:rsidR="0000507C" w:rsidRPr="00AC6D31" w:rsidRDefault="003E311A" w:rsidP="00CD7A9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r w:rsidR="0000507C"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дополнение к данным Системы сбора данных ИМО, судам обеспечения платформ и морским контрактным судам, а также круизным пассажирским судам предлагается собирать данные о «часах работы двигателя и установленной мощности для каждого двигателя»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="0000507C"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если это применимо, для проведения испытаний на добровольной основе;</w:t>
      </w:r>
    </w:p>
    <w:p w14:paraId="3F5B87CC" w14:textId="77777777" w:rsidR="0000507C" w:rsidRPr="00AC6D31" w:rsidRDefault="0000507C" w:rsidP="00CD7A9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на основании приведенных выше данных судам обеспечения платформ и морским контрактным судам, а также круизным пассажирским судам предлагается рассчитывать показатели А и В и сообщать их ИМО;</w:t>
      </w:r>
    </w:p>
    <w:p w14:paraId="3575833D" w14:textId="77777777" w:rsidR="0000507C" w:rsidRPr="00AC6D31" w:rsidRDefault="0000507C" w:rsidP="00CD7A9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ИМО разработает пакет обезличенных данных по показателям A и B для анализа и рассмотрения сторонами с целью введения поправок в Приложение VI к Конвенции МАРПОЛ, если это необходимо, после проведения анализа указанных выше данных.</w:t>
      </w:r>
    </w:p>
    <w:p w14:paraId="7F6172D1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2B492EBD" w14:textId="128B26F0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Пассажирские круизные суда</w:t>
      </w:r>
    </w:p>
    <w:p w14:paraId="3192C7AD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 пассажирских судов КГ приняла аналогичное предложение.</w:t>
      </w:r>
    </w:p>
    <w:p w14:paraId="0ED388E2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7A68CE83" w14:textId="587EAD84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Пересмотр руководства по минимальной мощности</w:t>
      </w:r>
    </w:p>
    <w:p w14:paraId="21C77F83" w14:textId="3063EFAD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приняла поправки к 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Вр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еменному руководству 2013 г. по определению минимальной </w:t>
      </w:r>
      <w:proofErr w:type="spellStart"/>
      <w:r w:rsidR="00CB514B">
        <w:rPr>
          <w:rFonts w:ascii="Times New Roman" w:eastAsia="Times New Roman" w:hAnsi="Times New Roman" w:cs="Times New Roman"/>
          <w:sz w:val="26"/>
          <w:szCs w:val="26"/>
          <w:lang w:bidi="ru-RU"/>
        </w:rPr>
        <w:t>пропульсивной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мощности для обеспечения маневренности судов в неблагоприятных условиях (резолюция MEPC.232(65) с поправками, внесенными резолюцией MEPC.255(67)), которое содержится в циркуляре MEPC.1/Circ.850/Rev.2, но решила держать его под контролем.</w:t>
      </w:r>
    </w:p>
    <w:p w14:paraId="7D738B3E" w14:textId="77777777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Неблагоприятные погодные условия - отмечая, что пересмотренные неблагоприятные погодные условия являются более строгими, чем действующие в настоящее время условия, предусмотренные в циркуляре MEPC.1/Circ.850/Rev.2, решение о включении «Оценки минимальной мощности» в качестве новой процедуры оценки было поддержано для внесения в проект пересмотренного руководства. </w:t>
      </w:r>
    </w:p>
    <w:p w14:paraId="54B1D4BD" w14:textId="77777777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Включение оценки минимальной мощности - используемая в настоящее время упрощенная оценка (используемый метод уровня 2) заменен</w:t>
      </w:r>
      <w:r w:rsidR="009B2B08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оценкой минимальной мощности.</w:t>
      </w:r>
    </w:p>
    <w:p w14:paraId="40B4FC4C" w14:textId="6436F71A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2BB298B5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0D94CF96" w14:textId="038281AA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Поправки к Руководству 2018 г. по методу вычисления фактического конструктивного коэффициента </w:t>
      </w:r>
      <w:proofErr w:type="spellStart"/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энергоэффективности</w:t>
      </w:r>
      <w:proofErr w:type="spellEnd"/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ККЭЭ</w:t>
      </w:r>
      <w:r w:rsidR="0093375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(</w:t>
      </w: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EEDI) для новых судов</w:t>
      </w:r>
    </w:p>
    <w:p w14:paraId="20EC5DD3" w14:textId="1D00B38A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76 сессия КЗМС приняла поправки к Руководству 2018 г. по методу вычисления фактического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ККЭЭ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EEDI) для новых судов</w:t>
      </w:r>
      <w:r w:rsidRPr="0000507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. </w:t>
      </w:r>
    </w:p>
    <w:p w14:paraId="26D82133" w14:textId="1E587293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Поправки были разработаны с целью учета поправок, внесенных в Приложение VI к МАРПОЛ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в отношении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обязательно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отчет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ности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 значениях фактического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ККЭЭ и сопутствующей информации, как было одобрено на 75 сессии КЗМС. </w:t>
      </w:r>
    </w:p>
    <w:p w14:paraId="7C22F251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286FB7EE" w14:textId="7A3FC985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Унифицированные интерпретации для разъяснения дат, относящихся к этапам 2 и 3 ККЭЭ для «новых судов»</w:t>
      </w:r>
    </w:p>
    <w:p w14:paraId="60EFEBAB" w14:textId="77777777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 одобрила проект унифицированной интерпретации для разъяснения дат, относящихся к этапам 2 и 3 ККЭЭ для «новых судов», в качестве проекта поправок к циркуляру MEPC.1/Circ.795/Rev.4.</w:t>
      </w:r>
    </w:p>
    <w:p w14:paraId="766164CC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412279FA" w14:textId="7D991FAE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Энергоэффективность</w:t>
      </w:r>
      <w:proofErr w:type="spellEnd"/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судов</w:t>
      </w:r>
    </w:p>
    <w:p w14:paraId="62AE4B0D" w14:textId="3891BC04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приняла к сведению 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траслево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руководств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2020 г. по расчету и подтверждению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ККЭЭ.</w:t>
      </w:r>
    </w:p>
    <w:p w14:paraId="53822CC1" w14:textId="50F82BD6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Первая версия отраслевого руководства, в которой предусмотрены согласованные процедуры расчета и подтверждения ККЭЭ, которые должны использоваться </w:t>
      </w:r>
      <w:proofErr w:type="spellStart"/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верефикаторами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судовладельцами, поставляющими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данные, была выделена как часть процедурного требования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МАКО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ПТ 38 «Процедура расчета и подтверждения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(ККЭЭ)».</w:t>
      </w:r>
    </w:p>
    <w:p w14:paraId="43FBCBB1" w14:textId="6FA8A474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Отраслевое руководство содержит значимые положения Руководства 2018 г. по методу вычисления фактического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ККЭЭ для новых судов (резолюция MEPC.308(73)) и Руководства 2014 г. по освидетельствованию и сертификации конструктивного коэффициента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ККЭЭ (резолюция MEPC.254(67)) с поправками, внесенными резолюциями MEPC.261(68) и MEPC.309(73)). Таким образом, для поддержания соответствия между предшествующей и последующей версиями стало обязательным актуализировать отраслевое руководство каждый раз после пересмотра руководства ИМО.</w:t>
      </w:r>
    </w:p>
    <w:p w14:paraId="2DC22E80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 отраслевое руководство 2020 г. были внесены следующие изменения:</w:t>
      </w:r>
    </w:p>
    <w:p w14:paraId="0D7EBF3E" w14:textId="46755869" w:rsidR="0000507C" w:rsidRPr="00AC6D31" w:rsidRDefault="0000507C" w:rsidP="0093375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.1 удаление п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унктов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входящих 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руководство ИМО</w:t>
      </w:r>
      <w:r w:rsidR="00ED530A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добавление ссылок на соответствующее руководство ИМО, если необходимо;</w:t>
      </w:r>
    </w:p>
    <w:p w14:paraId="527B5FB9" w14:textId="77777777" w:rsidR="0000507C" w:rsidRPr="00AC6D31" w:rsidRDefault="0000507C" w:rsidP="0093375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.2 актуализация на основании последних руководств и ссылок ИМО;</w:t>
      </w:r>
    </w:p>
    <w:p w14:paraId="621430DE" w14:textId="77777777" w:rsidR="0000507C" w:rsidRPr="00AC6D31" w:rsidRDefault="0000507C" w:rsidP="0093375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.3 разъяснение применения Таблицы электрической мощности (EPT) для пассажирских судов и пассажирских судов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ро-ро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в частности, для содействия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согласованному внедрению руководства ИМО, которое приводится в резолюции MEPC.308(73), с поправками, в отношении вычисления значения PAE и использования EPT, как это принято в отраслевой практике.</w:t>
      </w:r>
    </w:p>
    <w:p w14:paraId="7A43F5E9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114CCD28" w14:textId="0B91FA82" w:rsidR="0000507C" w:rsidRPr="00AC6D31" w:rsidRDefault="00CD7A90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Снижение выбросов ПГ с судов. </w:t>
      </w:r>
      <w:proofErr w:type="spellStart"/>
      <w:r w:rsidR="003D779C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Комплесная</w:t>
      </w:r>
      <w:proofErr w:type="spellEnd"/>
      <w:r w:rsidRPr="00CD7A9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оценка воздействия краткосрочной меры</w:t>
      </w:r>
    </w:p>
    <w:p w14:paraId="4A67326D" w14:textId="155439BD" w:rsidR="0000507C" w:rsidRPr="00AC6D31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 ходе 75 сессии КЗМС многие делегаты отмечали, что до принятия краткосрочной меры было важно произвести всеобъемлющую оценку ее воздействия на государства, обращая особое внимание на потребности развивающихся стран, в особенности</w:t>
      </w:r>
      <w:r w:rsidR="005A5151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малых островных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развивающихся государств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SIDS) и стран с низшим уровнем экономического развития </w:t>
      </w:r>
      <w:r w:rsidR="0093375C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LDCs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), в соответствии с Первоначальной стратегией ИМО, Процедурой для оценки влияния такой потенциальной меры на государства (MEPC.1/Circ.885). </w:t>
      </w:r>
    </w:p>
    <w:p w14:paraId="74065098" w14:textId="77777777" w:rsidR="0000507C" w:rsidRPr="009B2B08" w:rsidRDefault="0000507C" w:rsidP="00CD7A9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ИМО учредила Руководящий Комитет по проведению всеобъемлющей оценки воздействия. Были определены следующие задачи:</w:t>
      </w:r>
    </w:p>
    <w:p w14:paraId="314EBE9F" w14:textId="77777777" w:rsidR="0000507C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1 Обзор литературы (Всемирный морской университет);</w:t>
      </w:r>
    </w:p>
    <w:p w14:paraId="34F3A6B7" w14:textId="77777777" w:rsidR="0000507C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2 Оценка воздействия меры на флот;</w:t>
      </w:r>
    </w:p>
    <w:p w14:paraId="024F82DE" w14:textId="77777777" w:rsidR="00CD7A90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3 Оценка воздействия меры на государства (ЮНКТАД);</w:t>
      </w:r>
    </w:p>
    <w:p w14:paraId="3F5C1D98" w14:textId="77777777" w:rsidR="0000507C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4 Анализ заинтересованных сторон (</w:t>
      </w:r>
      <w:proofErr w:type="spellStart"/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Starcrest</w:t>
      </w:r>
      <w:proofErr w:type="spellEnd"/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);</w:t>
      </w:r>
    </w:p>
    <w:p w14:paraId="4BE82ABC" w14:textId="77777777" w:rsidR="00CD7A90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5 Определение зон отсутствия данных (</w:t>
      </w:r>
      <w:proofErr w:type="spellStart"/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Starcrest</w:t>
      </w:r>
      <w:proofErr w:type="spellEnd"/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); </w:t>
      </w:r>
    </w:p>
    <w:p w14:paraId="24BC48F6" w14:textId="77777777" w:rsidR="0000507C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6 Рассмотрение влияния COVID-19 (Секретариат);</w:t>
      </w:r>
    </w:p>
    <w:p w14:paraId="6647D6F6" w14:textId="77777777" w:rsidR="0000507C" w:rsidRPr="00AC6D31" w:rsidRDefault="0000507C" w:rsidP="00CD7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7A90">
        <w:rPr>
          <w:rFonts w:ascii="Times New Roman" w:eastAsia="Times New Roman" w:hAnsi="Times New Roman" w:cs="Times New Roman"/>
          <w:sz w:val="26"/>
          <w:szCs w:val="26"/>
          <w:lang w:bidi="ru-RU"/>
        </w:rPr>
        <w:t>Задача 7 Несоразмерно негативное воздействие (Секретариат/Руководящий комитет).</w:t>
      </w:r>
    </w:p>
    <w:p w14:paraId="63566E83" w14:textId="77777777" w:rsidR="00764223" w:rsidRPr="00AC6D31" w:rsidRDefault="0000507C" w:rsidP="0076422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Многие делегации поддержали предложение, что в период до 2026 г. необходимо проводить анализ воздействия краткосрочной меры, поэтому могут потребоваться необходимые корректировки. </w:t>
      </w:r>
    </w:p>
    <w:p w14:paraId="05DA8969" w14:textId="77777777" w:rsidR="0000507C" w:rsidRPr="00AC6D31" w:rsidRDefault="0000507C" w:rsidP="0076422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Многие делегации также поддержали идею проведения обучения на базе знаний, накопленных в отношении всеобъемлющей оценки воздействия краткосрочной меры.</w:t>
      </w:r>
    </w:p>
    <w:p w14:paraId="2BD63140" w14:textId="77777777" w:rsidR="0000507C" w:rsidRPr="0000507C" w:rsidRDefault="00764223" w:rsidP="005C541E">
      <w:pPr>
        <w:ind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КЗМС:</w:t>
      </w:r>
    </w:p>
    <w:p w14:paraId="532C2F41" w14:textId="77777777" w:rsidR="0000507C" w:rsidRPr="00AC6D31" w:rsidRDefault="0000507C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4223">
        <w:rPr>
          <w:rFonts w:ascii="Times New Roman" w:eastAsia="Times New Roman" w:hAnsi="Times New Roman" w:cs="Times New Roman"/>
          <w:sz w:val="26"/>
          <w:szCs w:val="26"/>
          <w:lang w:bidi="ru-RU"/>
        </w:rPr>
        <w:t>вновь подтвердила, наряду с Процедурой для оценки влияния такой потенциальной меры на государства (MEPC.1/Circ.885), осуществление контроля за внедрением и воздействием краткосрочной меры, поэтому могут потребоваться необходимые корректировки.</w:t>
      </w:r>
    </w:p>
    <w:p w14:paraId="611DA3A2" w14:textId="77777777" w:rsidR="0000507C" w:rsidRPr="00AC6D31" w:rsidRDefault="0000507C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4223">
        <w:rPr>
          <w:rFonts w:ascii="Times New Roman" w:eastAsia="Times New Roman" w:hAnsi="Times New Roman" w:cs="Times New Roman"/>
          <w:sz w:val="26"/>
          <w:szCs w:val="26"/>
          <w:lang w:bidi="ru-RU"/>
        </w:rPr>
        <w:t>согласилась, что может быть проведено обучени</w:t>
      </w:r>
      <w:r w:rsidR="005A5151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 w:rsidRPr="0076422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базе знаний, накопленных в отношении всеобъемлющей оценки воздействия краткосрочной меры для проведения дальнейшей оценки воздействия, включая то, как может быть определено несоразмерно негативное воздействие</w:t>
      </w:r>
    </w:p>
    <w:p w14:paraId="491B6195" w14:textId="0CFD5D3D" w:rsidR="0000507C" w:rsidRPr="00AC6D31" w:rsidRDefault="0000507C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6422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согласилась изменить текст резолюции 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КЗМС</w:t>
      </w:r>
      <w:r w:rsidRPr="00764223">
        <w:rPr>
          <w:rFonts w:ascii="Times New Roman" w:eastAsia="Times New Roman" w:hAnsi="Times New Roman" w:cs="Times New Roman"/>
          <w:sz w:val="26"/>
          <w:szCs w:val="26"/>
          <w:lang w:bidi="ru-RU"/>
        </w:rPr>
        <w:t>, чтобы отразить сомнения некоторых делегаций в отношении оценки воздействия на государства:</w:t>
      </w:r>
    </w:p>
    <w:p w14:paraId="3A7B61E7" w14:textId="77777777" w:rsidR="0000507C" w:rsidRPr="00AC6D31" w:rsidRDefault="00AB228B" w:rsidP="0000507C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lastRenderedPageBreak/>
        <w:t>«</w:t>
      </w:r>
      <w:r w:rsidR="0000507C" w:rsidRPr="00764223"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>7. СОГЛАСИЛАСЬ сделать выводы исходя из знаний, накопленных в отношении всеобъемлющей оценки воздействия поправок к Приложению VI к Конвенции МАРПОЛ с целью усовершенствования процедуры проведения последующих оценок с учетом Процедур</w:t>
      </w:r>
      <w:r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>ы</w:t>
      </w:r>
      <w:r w:rsidR="0000507C" w:rsidRPr="00764223"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 xml:space="preserve"> для оценки влияния такой потенциальной меры на государства (MEPC.1/Circ.885</w:t>
      </w:r>
      <w:r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>)</w:t>
      </w:r>
      <w:r w:rsidR="0000507C" w:rsidRPr="00764223"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 xml:space="preserve"> и технического задания по оценке воздействия краткосрочной меры»</w:t>
      </w:r>
      <w:r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>;</w:t>
      </w:r>
    </w:p>
    <w:p w14:paraId="2A67AD6A" w14:textId="457A87CF" w:rsidR="0000507C" w:rsidRPr="00AC6D31" w:rsidRDefault="0000507C" w:rsidP="007642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призвала государства-участники и международные организации представить конкретные предложения о том, как сохранить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контроль за необходимым пересмотром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воздействия краткосрочной меры и сделать выводы исходя из накопленных знаний на 77 сессии КЗМС.</w:t>
      </w:r>
    </w:p>
    <w:p w14:paraId="667494D2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7E29E9" w14:textId="7A7A7DF8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6422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Завершение проекта технического руководства в рамках поддержки коэффициента </w:t>
      </w:r>
      <w:proofErr w:type="spellStart"/>
      <w:r w:rsidRPr="0076422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энергоэффективности</w:t>
      </w:r>
      <w:proofErr w:type="spellEnd"/>
      <w:r w:rsidRPr="0076422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существующих судов</w:t>
      </w:r>
      <w:r w:rsidR="005C541E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 w:rsidRPr="00764223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EEXI</w:t>
      </w:r>
    </w:p>
    <w:p w14:paraId="001A9F86" w14:textId="6170CDCF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Без дальнейшего обсуждения 76 сессия КЗМС приняла</w:t>
      </w:r>
      <w:r w:rsidR="005C541E" w:rsidRP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следующие резолюции,</w:t>
      </w:r>
      <w:r w:rsidR="005C541E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как завершенные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8-й сессии Межсессионной рабочей группы по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сокращению выбросов ПГ с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суд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ов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="005C541E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ISWG GHG 8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</w:p>
    <w:p w14:paraId="18667CEC" w14:textId="47DDC650" w:rsidR="0000507C" w:rsidRPr="00AC6D31" w:rsidRDefault="00764223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MEPC.332(76) - Руководство 2021 г.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методу вычисления фактического конструктивного коэффициента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существующих судов EEXI;</w:t>
      </w:r>
    </w:p>
    <w:p w14:paraId="2ED327C7" w14:textId="7C068780" w:rsidR="0000507C" w:rsidRPr="00AC6D31" w:rsidRDefault="00764223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MEPC.333(76) - Руководство 2021 г.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методу вычисления фактического конструктивного коэффициента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существующих судов EEXI;</w:t>
      </w:r>
    </w:p>
    <w:p w14:paraId="75A9CE6B" w14:textId="06BC6FFE" w:rsidR="0000507C" w:rsidRPr="00AC6D31" w:rsidRDefault="00764223" w:rsidP="0076422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MEPC.334(76) - Руководство 2021 г. по системе ограничения мощности</w:t>
      </w:r>
      <w:r w:rsidR="00FA043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валу/мощности двигателя в целях обеспечения соблюдения требований к </w:t>
      </w:r>
      <w:r w:rsidR="005C541E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EEXI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использования резерва мощности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34E7B2D3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C40E09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Завершение проекта технического руководства в рамках поддержки руководства по эксплуатационным показателям </w:t>
      </w:r>
      <w:proofErr w:type="spellStart"/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углеродоемкости</w:t>
      </w:r>
      <w:proofErr w:type="spellEnd"/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и методам вычисления (руководства по СII)</w:t>
      </w:r>
    </w:p>
    <w:p w14:paraId="775B50C0" w14:textId="2D917FEC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резолюцию MEPC.335(76) -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2021 г. по эксплуатационным показателям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оемкости</w:t>
      </w:r>
      <w:proofErr w:type="spellEnd"/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методам вычисления (Р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5C541E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G1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CII), как завершенное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ISWG GHG 8.</w:t>
      </w:r>
    </w:p>
    <w:p w14:paraId="720052AC" w14:textId="1164D96D" w:rsidR="00E93FAB" w:rsidRDefault="00E93FAB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64F5F30D" w14:textId="4A7A2C5D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4C04C22D" w14:textId="77777777" w:rsidR="003D779C" w:rsidRDefault="003D779C" w:rsidP="0000507C">
      <w:pPr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</w:pPr>
    </w:p>
    <w:p w14:paraId="796CD0B4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Базовые линии CII</w:t>
      </w:r>
    </w:p>
    <w:p w14:paraId="5E8F7DD4" w14:textId="1FFEA1BF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резолюцию MEPC.336(76) -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уководство 2021 г. по базо</w:t>
      </w:r>
      <w:r w:rsidR="00AC6D3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вым линиям для использования с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эксплуатационными показателями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5C541E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G2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базовым линиям CII), как завершенное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ISWG GHG 8.</w:t>
      </w:r>
    </w:p>
    <w:p w14:paraId="41DB1258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5B9C21" w14:textId="22CF474E" w:rsidR="0000507C" w:rsidRPr="00AC6D31" w:rsidRDefault="005C541E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Понижающие</w:t>
      </w:r>
      <w:r w:rsidR="0000507C"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коэффициенты CII</w:t>
      </w:r>
    </w:p>
    <w:p w14:paraId="31814F84" w14:textId="5ED41591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резолюцию MEPC.337(76) -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2021 г. по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понижающим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коэффициентам к базовым линиям эксплуатационной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5C541E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G3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понижающим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коэффициентам CII), после длительных и оживленных обсуждений между делегациями.</w:t>
      </w:r>
    </w:p>
    <w:p w14:paraId="48D45744" w14:textId="2763D342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Большинство делегаций поддержало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компромиссное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предложение, представленное на 8</w:t>
      </w:r>
      <w:r w:rsidR="005C541E">
        <w:rPr>
          <w:rFonts w:ascii="Times New Roman" w:eastAsia="Times New Roman" w:hAnsi="Times New Roman" w:cs="Times New Roman"/>
          <w:sz w:val="26"/>
          <w:szCs w:val="26"/>
          <w:lang w:bidi="ru-RU"/>
        </w:rPr>
        <w:t>-й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сессии Межсессионной рабочей группы по сокращению выбросов ПГ с судов (ISWG-GHG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8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), поясняющее, что предложение является дальновидной и реалистичной целью международного судоходства. </w:t>
      </w:r>
    </w:p>
    <w:p w14:paraId="15249D27" w14:textId="6B4C14EE" w:rsidR="0000507C" w:rsidRPr="009A6F1D" w:rsidRDefault="0000507C" w:rsidP="009A6F1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Некоторые делегации, выражая общую поддержку выводов Группы по G3 в духе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компромисса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подчеркнули, что потребуются более энергичные попытки по снижению воздействия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ПГ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для достижения уровн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амбиций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заявленных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Первоначальной стратегии ИМО.</w:t>
      </w:r>
    </w:p>
    <w:p w14:paraId="38ADA5A7" w14:textId="344B89CE" w:rsidR="00A31CD0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Многие другие делегации выразили разочарование по отношению к рейтингам эксплуатационной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судов (рейтингам CII), подчеркнув, что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понижающие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коэффициенты, установленные для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фазы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 и 2, были недостаточны для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поощрения к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изменени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ю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поведения судовладельцев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о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ставление значений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коэффициентов для фазы</w:t>
      </w:r>
      <w:r w:rsidR="009A6F1D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3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 определенными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до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пересмотра Стратегии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могут привести к не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достоверности информации для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отрасли и, таким образом, не могут быть поддержаны.  </w:t>
      </w:r>
    </w:p>
    <w:p w14:paraId="78B8D241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66F89A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Рейтинги эксплуатационной </w:t>
      </w:r>
      <w:proofErr w:type="spellStart"/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углеродоемкости</w:t>
      </w:r>
      <w:proofErr w:type="spellEnd"/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судов (рейтинги CII)</w:t>
      </w:r>
    </w:p>
    <w:p w14:paraId="3A5C28DA" w14:textId="3CDD0370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резолюцию MEPC.338(76) -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2021 г. по рейтингам эксплуатационной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судов (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9A6F1D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G4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по рейтингам CII).</w:t>
      </w:r>
    </w:p>
    <w:p w14:paraId="7C98052A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B1185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Пересмотренное предложение в отношении Международного Совета по научным исследованиям и разработкам </w:t>
      </w:r>
    </w:p>
    <w:p w14:paraId="16ABFF80" w14:textId="2054D18B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75 сессия КЗМС рассмотрела предложение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представленное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нескольки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ми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промышленны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ми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ассоциаци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ями,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разработке программы научных исследований и разработок (НИР) для ускорения введения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низкоуглеродных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безуглеродных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технологий и 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видов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топлив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5F757F6E" w14:textId="661E067D" w:rsidR="00A31CD0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Пред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по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лагае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тся, что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программа НИР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могла бы быть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основана на создании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ИМО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Международного Совета по </w:t>
      </w:r>
      <w:r w:rsidR="009A6F1D">
        <w:rPr>
          <w:rFonts w:ascii="Times New Roman" w:eastAsia="Times New Roman" w:hAnsi="Times New Roman" w:cs="Times New Roman"/>
          <w:sz w:val="26"/>
          <w:szCs w:val="26"/>
          <w:lang w:bidi="ru-RU"/>
        </w:rPr>
        <w:t>Н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аучным исследованиям и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азработкам (IMRB), отвечающего за ввод в эксплуатацию, координацию и администрирование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конкретных проектов НИР, финансируемых фондом (Международным фондом ИМО по морским исследованиям, IMRF), который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также мог быть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основан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ИМО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</w:p>
    <w:p w14:paraId="39A68610" w14:textId="54924AF3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Предполагается, что будет привлечено примерно 5 миллиардов долларов США в течение 10 -</w:t>
      </w:r>
      <w:r w:rsidR="0051285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15 лет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существования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программы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по</w:t>
      </w:r>
      <w:r w:rsidR="00612F0E">
        <w:rPr>
          <w:rFonts w:ascii="Times New Roman" w:eastAsia="Times New Roman" w:hAnsi="Times New Roman" w:cs="Times New Roman"/>
          <w:sz w:val="26"/>
          <w:szCs w:val="26"/>
          <w:lang w:bidi="ru-RU"/>
        </w:rPr>
        <w:t>средством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агаемого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обязательно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го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финансирования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НИР,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в размере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2 доллар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США за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каждую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тонну потребленного топлива. </w:t>
      </w:r>
    </w:p>
    <w:p w14:paraId="4471EB41" w14:textId="4C76EABC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75 сессия КЗМС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рассмотрела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предложение отрасли и отметила расхождение во мнениях и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высказанные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сомнения, в частности, в 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отношении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раз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нообразных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эксплуатационных, административных, юридических аспект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вопрос</w:t>
      </w:r>
      <w:r w:rsidR="0089077D">
        <w:rPr>
          <w:rFonts w:ascii="Times New Roman" w:eastAsia="Times New Roman" w:hAnsi="Times New Roman" w:cs="Times New Roman"/>
          <w:sz w:val="26"/>
          <w:szCs w:val="26"/>
          <w:lang w:bidi="ru-RU"/>
        </w:rPr>
        <w:t>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управления. </w:t>
      </w:r>
    </w:p>
    <w:p w14:paraId="615AF57A" w14:textId="023AEAA9" w:rsidR="0000507C" w:rsidRPr="00AC6D31" w:rsidRDefault="00B570F3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виду недостатка времени, не смогла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завершить рассмотрение и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полностью обсудить </w:t>
      </w:r>
      <w:r w:rsidR="0000507C" w:rsidRPr="00B570F3">
        <w:rPr>
          <w:rFonts w:ascii="Times New Roman" w:eastAsia="Times New Roman" w:hAnsi="Times New Roman" w:cs="Times New Roman"/>
          <w:i/>
          <w:sz w:val="26"/>
          <w:szCs w:val="26"/>
          <w:lang w:bidi="ru-RU"/>
        </w:rPr>
        <w:t>пересмотренное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предложение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IMRB и согласилась, что обсуждение будет завершено на следующей сессии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КЗМС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7988337E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2C515F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1CD0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Предложение по плану работы по разработке средне- и долгосрочных мер </w:t>
      </w:r>
    </w:p>
    <w:p w14:paraId="343A993B" w14:textId="77777777" w:rsidR="0000507C" w:rsidRPr="00AC6D31" w:rsidRDefault="0000507C" w:rsidP="00A31CD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22 государства-участника, представленные как развитыми, так и </w:t>
      </w:r>
      <w:proofErr w:type="gram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развивающимися странами</w:t>
      </w:r>
      <w:proofErr w:type="gram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различными географическими регионами, продемонстрировали явный прогресс в отношении того, как структурировать обсуждения ИМО по вопросам средне- и долгосрочных мер, включая рассмотрение воздействий потенциальных мер на государства в ходе трех отдельных этапов:</w:t>
      </w:r>
    </w:p>
    <w:p w14:paraId="47153FAE" w14:textId="77777777" w:rsidR="00AE36E2" w:rsidRPr="00AC6D31" w:rsidRDefault="0000507C" w:rsidP="00B570F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Этап I – Сравнение и первоначальное рассмотрение предложений относительно мер; </w:t>
      </w:r>
    </w:p>
    <w:p w14:paraId="1538C87C" w14:textId="77777777" w:rsidR="0000507C" w:rsidRPr="00AC6D31" w:rsidRDefault="0000507C" w:rsidP="00B570F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Этап II – Оценка и выбор мер(ы) для дальнейшей разработки; и</w:t>
      </w:r>
    </w:p>
    <w:p w14:paraId="3E700175" w14:textId="789FA3B6" w:rsidR="0000507C" w:rsidRPr="00AC6D31" w:rsidRDefault="0000507C" w:rsidP="00B570F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Этап III – Разработка меры</w:t>
      </w:r>
      <w:r w:rsidR="0051285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(мер), которая должна быть завершена до согласованной даты (дат).</w:t>
      </w:r>
    </w:p>
    <w:p w14:paraId="69F4B91F" w14:textId="77777777" w:rsidR="0000507C" w:rsidRPr="00AC6D31" w:rsidRDefault="0000507C" w:rsidP="00AE36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Для сравнения и первоначального рассмотрения предложений в отношении возможных мер, план работы должен определить основные вопросы, которые должны быть рассмотрены по каждой средне- и долгосрочной мере.</w:t>
      </w:r>
    </w:p>
    <w:p w14:paraId="6C6ECF5F" w14:textId="77777777" w:rsidR="00AE36E2" w:rsidRPr="00AC6D31" w:rsidRDefault="0000507C" w:rsidP="00AE36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Ключевые вопросы должны включать следующие элементы, но не ограничиваться ими: </w:t>
      </w:r>
    </w:p>
    <w:p w14:paraId="72166C0A" w14:textId="77777777" w:rsidR="0000507C" w:rsidRPr="00AC6D31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основные характеристики и свойства меры;</w:t>
      </w:r>
    </w:p>
    <w:p w14:paraId="613BB7A3" w14:textId="77777777" w:rsidR="00AE36E2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установление потенциала сокращения выбросов;</w:t>
      </w:r>
    </w:p>
    <w:p w14:paraId="4B00D9BB" w14:textId="77777777" w:rsidR="00AE36E2" w:rsidRPr="00AC6D31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возможные последствия для судоходной индустрии;</w:t>
      </w:r>
    </w:p>
    <w:p w14:paraId="7AADBBE3" w14:textId="77777777" w:rsidR="0000507C" w:rsidRPr="00AC6D31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аспекты внедрения и приведения в исполнение;</w:t>
      </w:r>
    </w:p>
    <w:p w14:paraId="760DF550" w14:textId="77777777" w:rsidR="0000507C" w:rsidRPr="00AE36E2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юридические аспекты;</w:t>
      </w:r>
    </w:p>
    <w:p w14:paraId="1088F607" w14:textId="77777777" w:rsidR="0000507C" w:rsidRPr="00AC6D31" w:rsidRDefault="0000507C" w:rsidP="00AE36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36E2">
        <w:rPr>
          <w:rFonts w:ascii="Times New Roman" w:eastAsia="Times New Roman" w:hAnsi="Times New Roman" w:cs="Times New Roman"/>
          <w:sz w:val="26"/>
          <w:szCs w:val="26"/>
          <w:lang w:bidi="ru-RU"/>
        </w:rPr>
        <w:t>определение общей рабочей нагрузки Организации.</w:t>
      </w:r>
    </w:p>
    <w:p w14:paraId="715316AC" w14:textId="77777777" w:rsidR="0000507C" w:rsidRPr="00AC6D31" w:rsidRDefault="0000507C" w:rsidP="00AE36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Этап I должен продлиться до весны 2022 г., Этап II должен быть завершен одновременно с принятием Пересмотренной стратегии, а Этап III должен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осуществляться и достичь согласованной целевой даты одновременно с принятием Пересмотренной стратеги</w:t>
      </w:r>
      <w:r w:rsidR="00512858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сопутствующими графиками внедрения.</w:t>
      </w:r>
    </w:p>
    <w:p w14:paraId="1B99C42A" w14:textId="77777777" w:rsidR="0000507C" w:rsidRPr="00AC6D31" w:rsidRDefault="0000507C" w:rsidP="00AE36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Это предложение встретило широкую поддержку, несколько делегаций подчеркнули важность для ИМО начать незамедлительное рассмотрение конкретных среднесрочных мер с целью согласовать обширные меры как можно скорее, но не позднее 2025 г. В этой связи многие делегации выразили мнение, что план работы должен быть одобрен на этой сессии с тем, чтобы незамедлительно инициировать работу по этапу I.</w:t>
      </w:r>
    </w:p>
    <w:p w14:paraId="75074683" w14:textId="2948F637" w:rsidR="0000507C" w:rsidRPr="00AC6D31" w:rsidRDefault="0000507C" w:rsidP="00AE36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екоторые другие делегации, выражая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поддержку организации дальнейшей работы на основе плана работы, п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редложили, чтобы поправки к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план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работы, такие как оценка воздействия на государства, 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были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более значимыми в соответствии с этапом II плана работы, а также включа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ли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новый этап IV для отслеживания воздействия на государства.</w:t>
      </w:r>
    </w:p>
    <w:p w14:paraId="332905D4" w14:textId="77777777" w:rsidR="0000507C" w:rsidRPr="00AC6D31" w:rsidRDefault="0000507C" w:rsidP="00AE36E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одобрила план работы и попросила 9 сессию Межсессионной рабочей группы по сокращению выбросов ПГ с судов (ISWG-GHG 9) использовать план работы как основу и руководство в ее дальнейшей работе по рассмотрению конкретных предложений по средне- и долгосрочным мерам. </w:t>
      </w:r>
    </w:p>
    <w:p w14:paraId="47D161C5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A08E8B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Предложение по установлению универсального обязательного сбора за выброс парниковых газов</w:t>
      </w:r>
    </w:p>
    <w:p w14:paraId="18894B62" w14:textId="5E5F719F" w:rsidR="00850175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ассмотре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>ла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предложение по обязательному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углеродному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сбору за выброс парниковых газов в международном судоходстве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>, предлагаемого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качестве незамедлительной приоритетной меры для содействия быстрому 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переходу и отказу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 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использования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углеводородного </w:t>
      </w:r>
      <w:r w:rsidR="00B570F3">
        <w:rPr>
          <w:rFonts w:ascii="Times New Roman" w:eastAsia="Times New Roman" w:hAnsi="Times New Roman" w:cs="Times New Roman"/>
          <w:sz w:val="26"/>
          <w:szCs w:val="26"/>
          <w:lang w:bidi="ru-RU"/>
        </w:rPr>
        <w:t>топлива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. </w:t>
      </w:r>
    </w:p>
    <w:p w14:paraId="661D9CC1" w14:textId="0E96DC66" w:rsidR="0000507C" w:rsidRPr="00AC6D31" w:rsidRDefault="00B570F3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вторы инициативы предлагают на начальном уровне к 2025 г.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Установить сбор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100 долларов США за тонну фактических выбросов, эквивален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тных выбросам диоксида углерода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тяжелому то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пливу,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с последующими увеличением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каждые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лет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 основе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должного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анализа.</w:t>
      </w:r>
    </w:p>
    <w:p w14:paraId="1913941F" w14:textId="2244BC4C" w:rsidR="0000507C" w:rsidRPr="00AC6D31" w:rsidRDefault="00B570F3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вторы инициативы проанализировали всю имеющуюся работу по эффективности международных рыночных мер, опубликованных после того, как последнее обсуждени</w:t>
      </w:r>
      <w:r w:rsidR="00C678EE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ИМО по данному вопросу было закрыто в 2013 г., и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пришли к выводу, что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амбициозный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обязательный и универсальный сбор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считается экспертами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наилучшим 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существующим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экономическим инструментом контроля выбросов ПГ в секторе международного судоходства.</w:t>
      </w:r>
    </w:p>
    <w:p w14:paraId="1F263458" w14:textId="692EF393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ведение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такого сбора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преследует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дв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основных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цели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:</w:t>
      </w:r>
    </w:p>
    <w:p w14:paraId="17B2C799" w14:textId="4065E8C3" w:rsidR="0000507C" w:rsidRPr="00AC6D31" w:rsidRDefault="0028084A" w:rsidP="008501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послать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рынку недвусмысленн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ый сигнал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 том, что переход на полностью </w:t>
      </w:r>
      <w:proofErr w:type="spellStart"/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безуглеродное</w:t>
      </w:r>
      <w:proofErr w:type="spellEnd"/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судоходство,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температурными целями 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Парижск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ого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соглашени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я 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и научными данными, является окончательным и неизбежным;</w:t>
      </w:r>
    </w:p>
    <w:p w14:paraId="409FF1D4" w14:textId="6AD269E8" w:rsidR="0000507C" w:rsidRPr="00AC6D31" w:rsidRDefault="0028084A" w:rsidP="008501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компенсировать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разницу цен между обычными (</w:t>
      </w: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business</w:t>
      </w:r>
      <w:r w:rsidRP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as</w:t>
      </w:r>
      <w:r w:rsidRP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usual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) технологи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ями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основании выбросов, включая топлив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о;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их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безуглеродные</w:t>
      </w:r>
      <w:proofErr w:type="spellEnd"/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альтернативы.</w:t>
      </w:r>
    </w:p>
    <w:p w14:paraId="530D232A" w14:textId="64E63301" w:rsidR="0000507C" w:rsidRPr="00AC6D31" w:rsidRDefault="0000507C" w:rsidP="0085017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Сбор может взиматься на стадии бункеровки или </w:t>
      </w:r>
      <w:r w:rsidR="0028084A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результатам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выбросов, но авторы инициативы отмечают, что наилучшие рассмотренные доказательства обеспечивают эффективность и простоту сборов при бункеровке.</w:t>
      </w:r>
    </w:p>
    <w:p w14:paraId="3A0AD13C" w14:textId="6820D484" w:rsidR="0000507C" w:rsidRPr="00AC6D31" w:rsidRDefault="0028084A" w:rsidP="0085017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вторы инициативы предлагают распределить собранные средства на:</w:t>
      </w:r>
    </w:p>
    <w:p w14:paraId="4C09AF81" w14:textId="77777777" w:rsidR="0000507C" w:rsidRPr="00AC6D31" w:rsidRDefault="0000507C" w:rsidP="0028084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1) создание фонда для поддержки смягчения последствий изменения климата и адаптационные мероприятия в уязвимых странах, регулируемые на основании полномочий Рамочной конвенции ООН об изменении климата (UNFCCC), потенциальным кандидатом для которой может стать существующий Зеленый климатический фонд (GCF),</w:t>
      </w:r>
    </w:p>
    <w:p w14:paraId="2A9ED75C" w14:textId="62450AC7" w:rsidR="0000507C" w:rsidRPr="00AC6D31" w:rsidRDefault="0000507C" w:rsidP="0028084A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2) 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создание отдельного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фонд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для финансирования НИР по новым технологиям и видам топлива, регулируемые на основании полномочий ИМО. 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Компенсация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понесенных 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операционных издержек будет составлять определенную часть доходов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как для 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государств П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орт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, так и для государств 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Ф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лага, при управлении сборо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м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средств и администрировани</w:t>
      </w:r>
      <w:r w:rsidR="00596F5C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расходов.</w:t>
      </w:r>
    </w:p>
    <w:p w14:paraId="2AB8A2B0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Принцип CBDR-RC (</w:t>
      </w:r>
      <w:r w:rsidR="00ED21B1">
        <w:rPr>
          <w:rFonts w:ascii="Times New Roman" w:eastAsia="Times New Roman" w:hAnsi="Times New Roman" w:cs="Times New Roman"/>
          <w:sz w:val="26"/>
          <w:szCs w:val="26"/>
          <w:lang w:bidi="ru-RU"/>
        </w:rPr>
        <w:t>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бщие, но дифференцированные обязанности и соответствующие возможности) рассматривается путем перечисления значительной части собранных средств на финансирование проектов по изменению климата в странах, являющихся наиболее уязвимыми для последствий изменения климата.</w:t>
      </w:r>
    </w:p>
    <w:p w14:paraId="0846119B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Некоторые делегации встретили предложение положительно и выразили его поддержку в целом, признавая также срочность начала обсуждений по международным рыночным мерам.</w:t>
      </w:r>
    </w:p>
    <w:p w14:paraId="031E2EB8" w14:textId="17C12744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 другой стороны, некоторые другие делегации выразили мнение, что предложение было преждевременным и будет иметь отрицательное воздействие на морскую индустрию по отношению к развивающимся странам; что универсальный характер сбора будет несовместим с общими, но дифференцированными обязанностями и соответствующими возможностями (CBDR-RC); что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 настоящее время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не имеется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в достаточном количестве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альтернатив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ных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низко- или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безуглеродны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х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вид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ов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судового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топлива; что следует провести более подробную оценку воздействия  предложения на государства</w:t>
      </w:r>
      <w:r w:rsidR="00ED21B1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37F3004B" w14:textId="5FE251F6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приняла к сведению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предложен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ную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рыночн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ую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мер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, основанной на обязательном углеродном сборе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,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а также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выраженные противоречивые мнения в отношении предложения, и согласилась на </w:t>
      </w:r>
      <w:r w:rsidR="00D9408B">
        <w:rPr>
          <w:rFonts w:ascii="Times New Roman" w:eastAsia="Times New Roman" w:hAnsi="Times New Roman" w:cs="Times New Roman"/>
          <w:sz w:val="26"/>
          <w:szCs w:val="26"/>
          <w:lang w:bidi="ru-RU"/>
        </w:rPr>
        <w:t>его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дальнейшее рассмотрение совместно с последующими предложениями по среднесрочным мерам на 9 сессии Межсессионной рабочей группы по сокращению выбросов ПГ с судов (ISWG-GHG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9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) и 77 сессии КЗМС, в контексте этапа I плана работы.</w:t>
      </w:r>
    </w:p>
    <w:p w14:paraId="005F009D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A73677" w14:textId="77777777" w:rsidR="0000507C" w:rsidRPr="00AC6D31" w:rsidRDefault="00850175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lastRenderedPageBreak/>
        <w:t>Корреспондентская группа по сокращению интенсивности выбросов углерода</w:t>
      </w:r>
    </w:p>
    <w:p w14:paraId="44E14C3F" w14:textId="75198682" w:rsidR="0000507C" w:rsidRPr="009B40E1" w:rsidRDefault="0000507C" w:rsidP="009B40E1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согласилась повторно учредить Корреспондентскую группу по сокращению интенсивности выбросов углерода и проект ее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круга ведения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, а также проведение девятой и десятой Межсессионных рабочих групп по сокращению выбросов ПГ с судов (ISWG GHG 9 и ISWG GHG 10).</w:t>
      </w:r>
    </w:p>
    <w:p w14:paraId="1236ED06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2FB461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Действия по рассмотрению загрязнения морским пластмассовым мусором с судов</w:t>
      </w:r>
    </w:p>
    <w:p w14:paraId="2127C5BB" w14:textId="3380945E" w:rsidR="0000507C" w:rsidRPr="0000507C" w:rsidRDefault="00850175" w:rsidP="0000507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>ЗС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М одобрила:</w:t>
      </w:r>
    </w:p>
    <w:p w14:paraId="0DD95E45" w14:textId="77777777" w:rsidR="0000507C" w:rsidRPr="00AC6D31" w:rsidRDefault="0000507C" w:rsidP="008501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Циркуляр MEPC.1/Circ.893 в отношении Положения о соответствующем оборудовании портов и терминалов приема отходов пластика с судов</w:t>
      </w:r>
    </w:p>
    <w:p w14:paraId="67022D8B" w14:textId="77777777" w:rsidR="0000507C" w:rsidRPr="00AC6D31" w:rsidRDefault="0000507C" w:rsidP="0085017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Циркуляр MEPC.1/Circ.894 по совместному использованию результатов исследования морского мусора и поощрению проведения исследований для лучшего понимания загрязнения </w:t>
      </w:r>
      <w:proofErr w:type="spellStart"/>
      <w:r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>микропластиками</w:t>
      </w:r>
      <w:proofErr w:type="spellEnd"/>
      <w:r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судов</w:t>
      </w:r>
    </w:p>
    <w:p w14:paraId="599A1B57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17BD63" w14:textId="77777777" w:rsidR="0000507C" w:rsidRPr="00ED21B1" w:rsidRDefault="0000507C" w:rsidP="0000507C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D21B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bidi="ru-RU"/>
        </w:rPr>
        <w:t>Унифицированные интерпретации Технического кодекса NOX 2008 г.</w:t>
      </w:r>
    </w:p>
    <w:p w14:paraId="11C93E35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76 сессия КЗМС одобрила Циркуляр MEPC.1/Circ.895 по Унифицированным интерпретациям Технического кодекса NOX 2008 г. с поправками</w:t>
      </w:r>
      <w:r w:rsidR="00ED21B1">
        <w:rPr>
          <w:rFonts w:ascii="Times New Roman" w:eastAsia="Times New Roman" w:hAnsi="Times New Roman" w:cs="Times New Roman"/>
          <w:sz w:val="26"/>
          <w:szCs w:val="26"/>
          <w:lang w:bidi="ru-RU"/>
        </w:rPr>
        <w:t>.</w:t>
      </w:r>
    </w:p>
    <w:p w14:paraId="7064366A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Этот циркуляр отменяет циркуляр MEPC.1/Circ.865.</w:t>
      </w:r>
    </w:p>
    <w:p w14:paraId="4F88856E" w14:textId="77777777" w:rsidR="00850175" w:rsidRPr="00AC6D31" w:rsidRDefault="00850175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73AFCB" w14:textId="28135D2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Новые </w:t>
      </w:r>
      <w:r w:rsidR="009B40E1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предложения в повестку КЗМС</w:t>
      </w:r>
    </w:p>
    <w:p w14:paraId="482BC8A0" w14:textId="4D1DDA64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76 сессия КЗМС согласовала следующий новый 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пункт повестки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работы Комитета:</w:t>
      </w:r>
    </w:p>
    <w:p w14:paraId="52BC7FB6" w14:textId="0012856E" w:rsidR="0000507C" w:rsidRPr="00AC6D31" w:rsidRDefault="009B40E1" w:rsidP="0085017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Пересмотр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Руководства 2014 г. по сокращению подводного шума от торгового судоходства для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компенсации</w:t>
      </w:r>
      <w:r w:rsidR="0000507C" w:rsidRPr="0085017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отрицательного воздействия на морскую флору и фауну (MEPC.1/Circ.833) (Руководство 2014 г.) и определен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ия новых шагов.</w:t>
      </w:r>
    </w:p>
    <w:p w14:paraId="247C3DF0" w14:textId="77777777" w:rsidR="0000507C" w:rsidRPr="00AC6D31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60EB57" w14:textId="77777777" w:rsidR="0000507C" w:rsidRPr="00AC6D31" w:rsidRDefault="0000507C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50175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Дата следующей сессии КЗМС</w:t>
      </w:r>
    </w:p>
    <w:p w14:paraId="1A314991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77 сессия КЗМС будет проведена с 22 по 26 ноября 2021 г. </w:t>
      </w:r>
    </w:p>
    <w:p w14:paraId="6FDFF4CC" w14:textId="77777777" w:rsidR="0000507C" w:rsidRPr="00AC6D31" w:rsidRDefault="0000507C" w:rsidP="00850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78 сессия </w:t>
      </w:r>
      <w:r w:rsidR="00ED21B1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КЗМС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будет проведена в первой половине 2022 г.</w:t>
      </w:r>
    </w:p>
    <w:p w14:paraId="7DBF2DFE" w14:textId="6D9A22BE" w:rsidR="0000507C" w:rsidRDefault="0000507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33D087" w14:textId="77777777" w:rsidR="003D779C" w:rsidRPr="00AC6D31" w:rsidRDefault="003D779C" w:rsidP="0000507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A545B17" w14:textId="77777777" w:rsidR="0000507C" w:rsidRPr="00AC6D31" w:rsidRDefault="00A7705B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Отложенные вопросы</w:t>
      </w:r>
    </w:p>
    <w:p w14:paraId="013757E7" w14:textId="77777777" w:rsidR="0000507C" w:rsidRPr="00AC6D31" w:rsidRDefault="00A7705B" w:rsidP="00411B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Комитет согласился отложить рассмотрение следующих вопросов до 77 сессии КЗМС:</w:t>
      </w:r>
    </w:p>
    <w:p w14:paraId="4333E487" w14:textId="526B0912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Применение Конвенции УБВ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BWM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 конкретным типам судов;</w:t>
      </w:r>
    </w:p>
    <w:p w14:paraId="38D2DDF2" w14:textId="0F91CF70" w:rsidR="00A7705B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Применение Конвенции УБВ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BWM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 судам, </w:t>
      </w:r>
      <w:proofErr w:type="spellStart"/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эксплуатирующимся</w:t>
      </w:r>
      <w:proofErr w:type="spellEnd"/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портах с проблематичным качеством воды;</w:t>
      </w:r>
    </w:p>
    <w:p w14:paraId="0C99561F" w14:textId="77777777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Анализ журнала регистрации балластных вод;</w:t>
      </w:r>
    </w:p>
    <w:p w14:paraId="7189A87E" w14:textId="5EC40D47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Одобрение поправок к Приложению I Конвенции МАРПОЛ и Кодексу МКХ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IBC</w:t>
      </w:r>
      <w:r w:rsidR="009B40E1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отношении водонепроницаемых дверей на грузовых судах, а также соответствующих поправок к Протоколу о грузовой марке 1988 г. и Кодексу МКГ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IGC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="00552CDB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4911E3AE" w14:textId="6CB976F5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Процесс актуализации Руководства по освидетельствованиям в соответствии с Гармонизированной системой освидетельствования и оформления свидетельств 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>(</w:t>
      </w:r>
      <w:r w:rsidR="00D9408B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HSSC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);</w:t>
      </w:r>
    </w:p>
    <w:p w14:paraId="4E58786E" w14:textId="77777777" w:rsidR="00A7705B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Проект Руководства 2020 г. по системам очистки отработавших газов; </w:t>
      </w:r>
    </w:p>
    <w:p w14:paraId="3310F538" w14:textId="77777777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Слив воды из систем очистки отработавших газов;</w:t>
      </w:r>
    </w:p>
    <w:p w14:paraId="2C9C3658" w14:textId="6DE784D1" w:rsidR="00A7705B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Снижение влияния выбросов 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>черного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углерода 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от </w:t>
      </w: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международного судоходства в Арктическом регионе; </w:t>
      </w:r>
    </w:p>
    <w:p w14:paraId="7FDD8F01" w14:textId="77777777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705B">
        <w:rPr>
          <w:rFonts w:ascii="Times New Roman" w:eastAsia="Times New Roman" w:hAnsi="Times New Roman" w:cs="Times New Roman"/>
          <w:sz w:val="26"/>
          <w:szCs w:val="26"/>
          <w:lang w:bidi="ru-RU"/>
        </w:rPr>
        <w:t>Анализ Руководства IBTS и поправок к свидетельству IOPP и журналу учета нефтяных операций.</w:t>
      </w:r>
    </w:p>
    <w:p w14:paraId="71C40CAD" w14:textId="77777777" w:rsidR="0000507C" w:rsidRPr="00AC6D31" w:rsidRDefault="0000507C" w:rsidP="00411B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2737AC" w14:textId="18885FBB" w:rsidR="0000507C" w:rsidRPr="00AC6D31" w:rsidRDefault="00411BB1" w:rsidP="0000507C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Круг ведения</w:t>
      </w:r>
      <w:r w:rsidR="0000507C" w:rsidRPr="00A7705B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рабочих групп </w:t>
      </w:r>
    </w:p>
    <w:p w14:paraId="0FA5BF79" w14:textId="77777777" w:rsidR="003D779C" w:rsidRDefault="003D779C" w:rsidP="00411BB1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</w:pPr>
    </w:p>
    <w:p w14:paraId="408F6779" w14:textId="048C264B" w:rsidR="0000507C" w:rsidRPr="009058BF" w:rsidRDefault="00D45BEC" w:rsidP="00411BB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Корреспондентской</w:t>
      </w:r>
      <w:r w:rsidR="00A7705B" w:rsidRPr="009058BF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 групп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е</w:t>
      </w:r>
      <w:r w:rsidR="00A7705B" w:rsidRPr="009058BF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 по сокращению интенсивности выбросов углерода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 поручено</w:t>
      </w:r>
      <w:r w:rsidR="00A7705B" w:rsidRPr="009058BF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:</w:t>
      </w:r>
    </w:p>
    <w:p w14:paraId="58816A51" w14:textId="6A19730F" w:rsidR="0000507C" w:rsidRPr="00AC6D31" w:rsidRDefault="0000507C" w:rsidP="00411B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1. дальнейшее рассмотрение и завершение 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разработки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проекта актуализированного Руководства по разработке Плана управления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энергоэффективностью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судна (SEEMP),</w:t>
      </w:r>
    </w:p>
    <w:p w14:paraId="77D88BB3" w14:textId="67F8CBCD" w:rsidR="0000507C" w:rsidRPr="00AC6D31" w:rsidRDefault="0000507C" w:rsidP="00411B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2. дальнейшее рассмотрение и актуализация существующих руководящих указаний, процедур или руководства, с учетом коммен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тариев и решений, принятых на 8-й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сессии Межсессионной рабочей группы по сокращению выбросов ПГ с судов (ISWG-GHG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8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) и 76 сессии КЗМС, включая:</w:t>
      </w:r>
    </w:p>
    <w:p w14:paraId="49744FE8" w14:textId="26EF4948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a. Руководство 2017 г. по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="00411BB1">
        <w:rPr>
          <w:rFonts w:ascii="Times New Roman" w:eastAsia="Times New Roman" w:hAnsi="Times New Roman" w:cs="Times New Roman"/>
          <w:sz w:val="26"/>
          <w:szCs w:val="26"/>
          <w:lang w:bidi="ru-RU"/>
        </w:rPr>
        <w:t>дминистрированию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подтверждения данных по потреблению судового топлива (резолюция MEPC.292(71));</w:t>
      </w:r>
    </w:p>
    <w:p w14:paraId="0E2A571E" w14:textId="32DB9A40" w:rsidR="0000507C" w:rsidRPr="00AC6D31" w:rsidRDefault="00411BB1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b.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Руководство 2017 г. по разработке и управлению базой данных потребления судового топлива ИМО (резолюция MEPC.293(71));</w:t>
      </w:r>
    </w:p>
    <w:p w14:paraId="095CD997" w14:textId="367053FC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c. Процедуру предоставления данных в базу данных потребления судового топлива ИМО от государств, не являющихся сторонами Приложения VI МАРПОЛ (MEPC.1/Circ.871); и</w:t>
      </w:r>
    </w:p>
    <w:p w14:paraId="4A143877" w14:textId="142E8AB7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>d. Процедуры контроля со стороны государства порта, 2019</w:t>
      </w:r>
      <w:r w:rsidR="00815786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г.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(резолюция A.1138(31));</w:t>
      </w:r>
    </w:p>
    <w:p w14:paraId="04C7196E" w14:textId="6E4BF0AB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3. разработк</w:t>
      </w:r>
      <w:r w:rsidR="00552CDB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проекта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уководства по корректирующим коэффициентам для определенных типов судов, эксплуатационных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профилей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и/или рейсов в рамках CII (новое </w:t>
      </w:r>
      <w:r w:rsidR="009058B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Руководство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G5);</w:t>
      </w:r>
    </w:p>
    <w:p w14:paraId="65274F86" w14:textId="247ECA4E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4. разработк</w:t>
      </w:r>
      <w:r w:rsidR="00552CDB"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новых или существующих </w:t>
      </w:r>
      <w:r w:rsidR="009058BF">
        <w:rPr>
          <w:rFonts w:ascii="Times New Roman" w:eastAsia="Times New Roman" w:hAnsi="Times New Roman" w:cs="Times New Roman"/>
          <w:sz w:val="26"/>
          <w:szCs w:val="26"/>
          <w:lang w:bidi="ru-RU"/>
        </w:rPr>
        <w:t>Руководствах указани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й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по:</w:t>
      </w:r>
    </w:p>
    <w:p w14:paraId="3022BB38" w14:textId="3150F89D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a. процессам проверки и подтверждения Плана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У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правления </w:t>
      </w:r>
      <w:proofErr w:type="spellStart"/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Э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нергоэффективностью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удна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SEEMP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)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, включая подтверждение пересмотренного SEEMP для судов, требующих разработки плана корректирующих действий (PCA);</w:t>
      </w:r>
    </w:p>
    <w:p w14:paraId="3F7530A1" w14:textId="70A2E244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b. отчет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ности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, подтверждению и предоставлению данных по испытаниям CII на добровольной основе;</w:t>
      </w:r>
    </w:p>
    <w:p w14:paraId="0DD76FCD" w14:textId="201BAE43" w:rsidR="0000507C" w:rsidRPr="00AC6D31" w:rsidRDefault="0000507C" w:rsidP="00411B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c. накоплению и составлению отчетности о потреблени</w:t>
      </w:r>
      <w:r w:rsidR="00552CDB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топлива на судах для новой Администрации и/или компании в случае смены Администрации на другую и/и</w:t>
      </w:r>
      <w:r w:rsidR="00552CDB">
        <w:rPr>
          <w:rFonts w:ascii="Times New Roman" w:eastAsia="Times New Roman" w:hAnsi="Times New Roman" w:cs="Times New Roman"/>
          <w:sz w:val="26"/>
          <w:szCs w:val="26"/>
          <w:lang w:bidi="ru-RU"/>
        </w:rPr>
        <w:t>л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и одной компании на другую;</w:t>
      </w:r>
    </w:p>
    <w:p w14:paraId="1CE8C0C0" w14:textId="58664FE3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5. представить промежуточный отчет на 77 сессию КЗМС и окончательный отчет на 78 сессию КЗМС в 2022 г., который будет предварительно рассмотрен на 10 сессии Межсессионной рабочей группы по сокращению выбросов ПГ с судов (ISWG-GHG</w:t>
      </w:r>
      <w:r w:rsidR="009058B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10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).</w:t>
      </w:r>
    </w:p>
    <w:p w14:paraId="28373ED9" w14:textId="77777777" w:rsidR="0000507C" w:rsidRPr="00AC6D31" w:rsidRDefault="0000507C" w:rsidP="00411B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2CE0A" w14:textId="056150BF" w:rsidR="0000507C" w:rsidRPr="00D45BEC" w:rsidRDefault="0000507C" w:rsidP="00411BB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9</w:t>
      </w:r>
      <w:r w:rsidR="009058BF"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-й</w:t>
      </w:r>
      <w:r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 сессии Межсессионной рабочей группы по сокращению выбросов ПГ с судов (ISWG-GHG</w:t>
      </w:r>
      <w:r w:rsidR="009058BF"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 xml:space="preserve"> 9</w:t>
      </w:r>
      <w:r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) (15-17 сентября 2021 г.) поручено:</w:t>
      </w:r>
    </w:p>
    <w:p w14:paraId="51575336" w14:textId="718D9D9A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1. рассмотреть </w:t>
      </w:r>
      <w:r w:rsidR="00D45BE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далее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конкретные предложения с целью 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стимулирования потребления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альтернативного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низкоуглеродного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</w:t>
      </w:r>
      <w:proofErr w:type="spellStart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безуглеродного</w:t>
      </w:r>
      <w:proofErr w:type="spellEnd"/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топлива, включая разработку 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ук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оводства по жизненному циклу ПГ/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интенсивност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и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углерода всех основных видов топлива и 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схем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>стимулирования, где применимо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1E2028F1" w14:textId="66684CEC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2. рассмотреть </w:t>
      </w:r>
      <w:r w:rsidR="00D45BE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далее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конкретные предложения по сокращению проскоков метана и 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выбросам летучих органических соединений (ЛО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).</w:t>
      </w:r>
    </w:p>
    <w:p w14:paraId="52CF75B9" w14:textId="77777777" w:rsidR="0000507C" w:rsidRPr="00AC6D31" w:rsidRDefault="0000507C" w:rsidP="00411B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E421AE" w14:textId="77777777" w:rsidR="0000507C" w:rsidRPr="00D45BEC" w:rsidRDefault="0000507C" w:rsidP="00411BB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5BEC">
        <w:rPr>
          <w:rFonts w:ascii="Times New Roman" w:eastAsia="Times New Roman" w:hAnsi="Times New Roman" w:cs="Times New Roman"/>
          <w:sz w:val="26"/>
          <w:szCs w:val="26"/>
          <w:u w:val="single"/>
          <w:lang w:bidi="ru-RU"/>
        </w:rPr>
        <w:t>10 сессии Межсессионной рабочей группы по сокращению выбросов ПГ с судов (ISWG-GHG) (18-22 октября 2021 г.) поручено:</w:t>
      </w:r>
    </w:p>
    <w:p w14:paraId="79ED0A7E" w14:textId="44FDA474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1. рассмотреть все вопросы, возникающие из промежуточного отчета Корреспондентской группы по сокращению интенсивности выбросов углерода;</w:t>
      </w:r>
    </w:p>
    <w:p w14:paraId="15B86E66" w14:textId="12AA298C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2. рассмотреть </w:t>
      </w:r>
      <w:r w:rsidR="00D45BE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далее 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объем и длитель</w:t>
      </w:r>
      <w:r w:rsidR="00D45BEC">
        <w:rPr>
          <w:rFonts w:ascii="Times New Roman" w:eastAsia="Times New Roman" w:hAnsi="Times New Roman" w:cs="Times New Roman"/>
          <w:sz w:val="26"/>
          <w:szCs w:val="26"/>
          <w:lang w:bidi="ru-RU"/>
        </w:rPr>
        <w:t>ность разработки обязательного К</w:t>
      </w: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одекса по интенсивности выбросов углерода;</w:t>
      </w:r>
    </w:p>
    <w:p w14:paraId="5F7004D0" w14:textId="49E5B637" w:rsidR="0000507C" w:rsidRPr="00AC6D31" w:rsidRDefault="00D45BE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3.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рассмотреть конкретные п</w:t>
      </w:r>
      <w:r w:rsidR="00575DF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редложения о том, как </w:t>
      </w:r>
      <w:r w:rsidR="008B6F12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как сохранить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контроль за необходимым пересмотром </w:t>
      </w:r>
      <w:r w:rsidR="008B6F12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воздействия краткосрочной меры и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использовать накопленные знания о комплексной оценке воздействия кратковременной меры; и</w:t>
      </w:r>
    </w:p>
    <w:p w14:paraId="67757D85" w14:textId="147062C5" w:rsidR="0000507C" w:rsidRPr="00AC6D31" w:rsidRDefault="00FA0434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lastRenderedPageBreak/>
        <w:t xml:space="preserve">4. </w:t>
      </w:r>
      <w:r w:rsidR="0000507C"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рассмотреть среднесрочные меры по снижению ПГ в контексте Этапа I плана работы для разработки средне- и долгосрочных мер </w:t>
      </w:r>
    </w:p>
    <w:p w14:paraId="215D4EFB" w14:textId="5EFF4F59" w:rsidR="0000507C" w:rsidRPr="00AC6D31" w:rsidRDefault="0000507C" w:rsidP="00D45B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507C">
        <w:rPr>
          <w:rFonts w:ascii="Times New Roman" w:eastAsia="Times New Roman" w:hAnsi="Times New Roman" w:cs="Times New Roman"/>
          <w:sz w:val="26"/>
          <w:szCs w:val="26"/>
          <w:lang w:bidi="ru-RU"/>
        </w:rPr>
        <w:t>5. представить письменный отчет на 77 сессии КЗМС.</w:t>
      </w:r>
    </w:p>
    <w:p w14:paraId="13ABA9BC" w14:textId="77777777" w:rsidR="0000507C" w:rsidRPr="00AC6D31" w:rsidRDefault="0000507C" w:rsidP="00411BB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9B4DC4" w14:textId="77777777" w:rsidR="0000507C" w:rsidRPr="00FA0434" w:rsidRDefault="00DD5CB8" w:rsidP="00411BB1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76 сессия КЗМС приняла:</w:t>
      </w:r>
    </w:p>
    <w:p w14:paraId="50032215" w14:textId="47226DC7" w:rsidR="0000507C" w:rsidRPr="00AC6D31" w:rsidRDefault="0000507C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Резолюцию MEPC.328(76), вносящую поправки в Приложение VI к Конвенции МАРПОЛ в отношении обязательных целевых технических и эксплуатационных мер </w:t>
      </w:r>
      <w:r w:rsidR="008B6F12"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(EEXI и CII)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по сокращению интенсивности выбросов углерода в атмосферу в международном судоходстве;</w:t>
      </w:r>
    </w:p>
    <w:p w14:paraId="233F5D37" w14:textId="1BA5000B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Резолюцию MEPC.329(76), вносящую поправки в Приложение I к Конвенции МАРПОЛ в отношении запрета на использование </w:t>
      </w:r>
      <w:r w:rsidR="008B6F12"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тяжелого топлива </w:t>
      </w: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и перевозку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в качестве топлива</w:t>
      </w: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на судах в арктических водах;</w:t>
      </w:r>
    </w:p>
    <w:p w14:paraId="50E7DBCC" w14:textId="77777777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MEPC.330(76), вносящую поправки в Приложение VI к МАРПОЛ, касающиеся освобождения барж БНС от определенных требований по освидетельствованиям и свидетельствам;</w:t>
      </w:r>
    </w:p>
    <w:p w14:paraId="69E812A0" w14:textId="4694CB41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MEPC.331(76), вносящую поправки в приложения I и IV к Международной Конвенции по контролю за вредными противообрастающими си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стемами на судах (Конвенции AFS</w:t>
      </w: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) в отношении мер контроля </w:t>
      </w:r>
      <w:proofErr w:type="spellStart"/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цибутрина</w:t>
      </w:r>
      <w:proofErr w:type="spellEnd"/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форму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Свидетельства по </w:t>
      </w:r>
      <w:r w:rsidR="007D4B79">
        <w:rPr>
          <w:rFonts w:ascii="Times New Roman" w:eastAsia="Times New Roman" w:hAnsi="Times New Roman" w:cs="Times New Roman"/>
          <w:sz w:val="26"/>
          <w:szCs w:val="26"/>
          <w:lang w:val="en-US" w:bidi="ru-RU"/>
        </w:rPr>
        <w:t>I</w:t>
      </w: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AFS. </w:t>
      </w:r>
    </w:p>
    <w:p w14:paraId="071F6516" w14:textId="71530AC2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MEPC.332(76) - Руководство 2021 г.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методу вычисления фактического конструктивного коэффициента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вности</w:t>
      </w:r>
      <w:proofErr w:type="spellEnd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существующих судов EEXI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5A75B21D" w14:textId="1448E84F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MEPC.333(76) - Руководство 2021 г.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методу вычисления фактического конструктивного коэффициента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энергоэффекти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вности</w:t>
      </w:r>
      <w:proofErr w:type="spellEnd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существующих судов EEXI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;</w:t>
      </w:r>
    </w:p>
    <w:p w14:paraId="703EFA6B" w14:textId="65D783D1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 MEPC.334(76) - Руководство 2021 г. по с</w:t>
      </w:r>
      <w:r w:rsidR="008450C4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истеме ограничения мощности на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валу/мощности двигателя в целях обеспечения соблюдения требований к EEXI и использования резерва мощности.</w:t>
      </w:r>
    </w:p>
    <w:p w14:paraId="3B19CCB0" w14:textId="26A04BB9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Резолюцию MEPC.335(76) -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2021 г. по эксплуатационным показателям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методам вычислен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ия (Р</w:t>
      </w:r>
      <w:r w:rsidR="007D4B79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G1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7D4B79">
        <w:rPr>
          <w:rFonts w:ascii="Times New Roman" w:eastAsia="Times New Roman" w:hAnsi="Times New Roman" w:cs="Times New Roman"/>
          <w:sz w:val="26"/>
          <w:szCs w:val="26"/>
          <w:lang w:bidi="ru-RU"/>
        </w:rPr>
        <w:t>по CII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);</w:t>
      </w:r>
    </w:p>
    <w:p w14:paraId="67CE527A" w14:textId="5D695EC7" w:rsidR="00DD5CB8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Резолюцию MEPC.336(76) -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2021 г. по эксплуатационным показателям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и методам вычисления (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="007D4B79">
        <w:rPr>
          <w:rFonts w:ascii="Times New Roman" w:eastAsia="Times New Roman" w:hAnsi="Times New Roman" w:cs="Times New Roman"/>
          <w:sz w:val="26"/>
          <w:szCs w:val="26"/>
          <w:lang w:bidi="ru-RU"/>
        </w:rPr>
        <w:t>уководство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G2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по базовым линиям CII);</w:t>
      </w:r>
    </w:p>
    <w:p w14:paraId="713F0AA7" w14:textId="365CFA4B" w:rsidR="00DD5CB8" w:rsidRPr="00AC6D31" w:rsidRDefault="003F24BB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Резолюцию</w:t>
      </w:r>
      <w:r w:rsid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MEPC.337(76) - Руководство 2021 г. по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понижающим</w:t>
      </w:r>
      <w:r w:rsid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коэффициентам к базовым линиям экс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плуатационной </w:t>
      </w:r>
      <w:proofErr w:type="spellStart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(Р</w:t>
      </w:r>
      <w:r w:rsid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G3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по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понижающим</w:t>
      </w:r>
      <w:r w:rsid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коэффициентам CII);</w:t>
      </w:r>
    </w:p>
    <w:p w14:paraId="1A889DEF" w14:textId="199AC0B4" w:rsidR="0000507C" w:rsidRPr="00AC6D31" w:rsidRDefault="00DD5CB8" w:rsidP="00411BB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Резолюцию MEPC.338(76) -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уководство 2021 г. по рейтингам эксплуата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ционной </w:t>
      </w:r>
      <w:proofErr w:type="spellStart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углеродоемкости</w:t>
      </w:r>
      <w:proofErr w:type="spellEnd"/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судов (Р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уководство 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>G4</w:t>
      </w:r>
      <w:r w:rsidR="008B6F1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рейтингам CII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).</w:t>
      </w:r>
    </w:p>
    <w:p w14:paraId="061F97A5" w14:textId="57D3AE79" w:rsidR="00DD5CB8" w:rsidRDefault="00DD5CB8" w:rsidP="00411B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ED93338" w14:textId="1D8ECE54" w:rsidR="003D779C" w:rsidRDefault="003D779C" w:rsidP="00411B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8E1E0C" w14:textId="09236850" w:rsidR="003D779C" w:rsidRDefault="003D779C" w:rsidP="00411B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E657026" w14:textId="77777777" w:rsidR="003D779C" w:rsidRPr="00AC6D31" w:rsidRDefault="003D779C" w:rsidP="00411B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50942CD" w14:textId="02BF3F3B" w:rsidR="0000507C" w:rsidRPr="00DD5CB8" w:rsidRDefault="00DD5CB8" w:rsidP="00411BB1">
      <w:pPr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DD5CB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lastRenderedPageBreak/>
        <w:t xml:space="preserve">76 сессия КЗМС </w:t>
      </w:r>
      <w:r w:rsidR="008B6F12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одобрила</w:t>
      </w:r>
      <w:r w:rsidRPr="00DD5CB8">
        <w:rPr>
          <w:rFonts w:ascii="Times New Roman" w:eastAsia="Times New Roman" w:hAnsi="Times New Roman" w:cs="Times New Roman"/>
          <w:b/>
          <w:i/>
          <w:sz w:val="26"/>
          <w:szCs w:val="26"/>
          <w:lang w:bidi="ru-RU"/>
        </w:rPr>
        <w:t>:</w:t>
      </w:r>
    </w:p>
    <w:p w14:paraId="4F546C3E" w14:textId="7DE968A9" w:rsidR="0000507C" w:rsidRPr="00DD5CB8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окончательный текст Руководства MEPC.1/Circ.892 в отношении освобождения барж БНС от требований по освидетельствованиям и свидетельствам, в дополнение к поправкам к Приложению VI;</w:t>
      </w:r>
    </w:p>
    <w:p w14:paraId="74C96215" w14:textId="7E611E5E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циркуляр MEPC.1/Circ.893 в отношении Положения о соответствующем оборудовании портов и терминалов приема отходов пластика с судов;</w:t>
      </w:r>
    </w:p>
    <w:p w14:paraId="6CC4BE7B" w14:textId="6ED7008B" w:rsidR="0000507C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циркуляр MEPC.1/Circ.894 по совместному использованию результатов исследования морского мусора и поощрению проведения исследований для лучшего понимания загрязнения </w:t>
      </w:r>
      <w:proofErr w:type="spellStart"/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>микропластиками</w:t>
      </w:r>
      <w:proofErr w:type="spellEnd"/>
      <w:r w:rsidRPr="00DD5CB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 судов;</w:t>
      </w:r>
    </w:p>
    <w:p w14:paraId="52CC6274" w14:textId="493CD333" w:rsidR="00E24C89" w:rsidRPr="00AC6D31" w:rsidRDefault="0000507C" w:rsidP="00411BB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C6D31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циркуляр MEPC.1/Circ.895 по Унифицированным интерпретациям Технического кодекса NOX 2008 г. </w:t>
      </w:r>
    </w:p>
    <w:sectPr w:rsidR="00E24C89" w:rsidRPr="00AC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E46C86" w16cid:durableId="24BE4F76"/>
  <w16cid:commentId w16cid:paraId="34244B7D" w16cid:durableId="24BE50EA"/>
  <w16cid:commentId w16cid:paraId="6F70C928" w16cid:durableId="24BE5153"/>
  <w16cid:commentId w16cid:paraId="54E20010" w16cid:durableId="24BE52A0"/>
  <w16cid:commentId w16cid:paraId="7D293B74" w16cid:durableId="24BE52DD"/>
  <w16cid:commentId w16cid:paraId="31DAC295" w16cid:durableId="24BE51AE"/>
  <w16cid:commentId w16cid:paraId="3067A845" w16cid:durableId="24BE53E2"/>
  <w16cid:commentId w16cid:paraId="13AF2640" w16cid:durableId="24BE562B"/>
  <w16cid:commentId w16cid:paraId="415B2E28" w16cid:durableId="24BE5857"/>
  <w16cid:commentId w16cid:paraId="62068441" w16cid:durableId="24BE57AE"/>
  <w16cid:commentId w16cid:paraId="2F0C95A5" w16cid:durableId="24BE5918"/>
  <w16cid:commentId w16cid:paraId="10D5A13A" w16cid:durableId="24BE595E"/>
  <w16cid:commentId w16cid:paraId="6E96F014" w16cid:durableId="24BE5D5C"/>
  <w16cid:commentId w16cid:paraId="2F853071" w16cid:durableId="24BE5FA6"/>
  <w16cid:commentId w16cid:paraId="23A03E96" w16cid:durableId="24BE6077"/>
  <w16cid:commentId w16cid:paraId="558DCAAC" w16cid:durableId="24BE60A3"/>
  <w16cid:commentId w16cid:paraId="3BA4FB95" w16cid:durableId="24BE6229"/>
  <w16cid:commentId w16cid:paraId="43544777" w16cid:durableId="24BE6288"/>
  <w16cid:commentId w16cid:paraId="13466CE3" w16cid:durableId="24BE6362"/>
  <w16cid:commentId w16cid:paraId="0FCBECFA" w16cid:durableId="24BE643C"/>
  <w16cid:commentId w16cid:paraId="1D4EE241" w16cid:durableId="24BE657A"/>
  <w16cid:commentId w16cid:paraId="764A8A43" w16cid:durableId="24BE5EE7"/>
  <w16cid:commentId w16cid:paraId="24A72474" w16cid:durableId="24BE666E"/>
  <w16cid:commentId w16cid:paraId="3B2E3036" w16cid:durableId="24BE67C9"/>
  <w16cid:commentId w16cid:paraId="75FC58B0" w16cid:durableId="24BE681E"/>
  <w16cid:commentId w16cid:paraId="6CE3464E" w16cid:durableId="24BE6904"/>
  <w16cid:commentId w16cid:paraId="660D0D9A" w16cid:durableId="24BE69A3"/>
  <w16cid:commentId w16cid:paraId="1DCFC31C" w16cid:durableId="24BE6A50"/>
  <w16cid:commentId w16cid:paraId="467CCDCE" w16cid:durableId="24BE6B2C"/>
  <w16cid:commentId w16cid:paraId="3CF0405D" w16cid:durableId="24BE6C0C"/>
  <w16cid:commentId w16cid:paraId="67E1F22B" w16cid:durableId="24BE6C89"/>
  <w16cid:commentId w16cid:paraId="62145946" w16cid:durableId="24BE6DDD"/>
  <w16cid:commentId w16cid:paraId="41B1C3B9" w16cid:durableId="24BE6DFF"/>
  <w16cid:commentId w16cid:paraId="5BAE5C42" w16cid:durableId="24BE6E2B"/>
  <w16cid:commentId w16cid:paraId="4B1637D4" w16cid:durableId="24BE6EE1"/>
  <w16cid:commentId w16cid:paraId="2E68906A" w16cid:durableId="24BE6F4C"/>
  <w16cid:commentId w16cid:paraId="7C790886" w16cid:durableId="24BE70DE"/>
  <w16cid:commentId w16cid:paraId="4A48EA99" w16cid:durableId="24BE710D"/>
  <w16cid:commentId w16cid:paraId="6A5CDB67" w16cid:durableId="24BE71B0"/>
  <w16cid:commentId w16cid:paraId="0759E6DF" w16cid:durableId="24BE721A"/>
  <w16cid:commentId w16cid:paraId="1EFAB46F" w16cid:durableId="24BE7386"/>
  <w16cid:commentId w16cid:paraId="12E8BB60" w16cid:durableId="24BE73DF"/>
  <w16cid:commentId w16cid:paraId="05691C6F" w16cid:durableId="24BE7412"/>
  <w16cid:commentId w16cid:paraId="2C747789" w16cid:durableId="24BE74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7B9D"/>
    <w:multiLevelType w:val="hybridMultilevel"/>
    <w:tmpl w:val="D56652BA"/>
    <w:lvl w:ilvl="0" w:tplc="FC04E362">
      <w:start w:val="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4D33"/>
    <w:multiLevelType w:val="hybridMultilevel"/>
    <w:tmpl w:val="6C825678"/>
    <w:lvl w:ilvl="0" w:tplc="EDD0F234">
      <w:start w:val="7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C"/>
    <w:rsid w:val="0000507C"/>
    <w:rsid w:val="000224C2"/>
    <w:rsid w:val="000453A8"/>
    <w:rsid w:val="000F3BFC"/>
    <w:rsid w:val="00167513"/>
    <w:rsid w:val="0024730E"/>
    <w:rsid w:val="0028084A"/>
    <w:rsid w:val="00287867"/>
    <w:rsid w:val="002A1D3B"/>
    <w:rsid w:val="002D79B3"/>
    <w:rsid w:val="00325A43"/>
    <w:rsid w:val="00381DEE"/>
    <w:rsid w:val="003D779C"/>
    <w:rsid w:val="003E311A"/>
    <w:rsid w:val="003F128D"/>
    <w:rsid w:val="003F24BB"/>
    <w:rsid w:val="00411BB1"/>
    <w:rsid w:val="00497066"/>
    <w:rsid w:val="004D721A"/>
    <w:rsid w:val="00512858"/>
    <w:rsid w:val="005140F6"/>
    <w:rsid w:val="00552CDB"/>
    <w:rsid w:val="00575DFC"/>
    <w:rsid w:val="00596F5C"/>
    <w:rsid w:val="005A5151"/>
    <w:rsid w:val="005C541E"/>
    <w:rsid w:val="00612F0E"/>
    <w:rsid w:val="00747922"/>
    <w:rsid w:val="00764223"/>
    <w:rsid w:val="00797FBF"/>
    <w:rsid w:val="007D4B79"/>
    <w:rsid w:val="00812629"/>
    <w:rsid w:val="00815786"/>
    <w:rsid w:val="008450C4"/>
    <w:rsid w:val="00850175"/>
    <w:rsid w:val="0089077D"/>
    <w:rsid w:val="008A56EA"/>
    <w:rsid w:val="008B6F12"/>
    <w:rsid w:val="008E6DBB"/>
    <w:rsid w:val="009058BF"/>
    <w:rsid w:val="0093375C"/>
    <w:rsid w:val="009A6F1D"/>
    <w:rsid w:val="009B2B08"/>
    <w:rsid w:val="009B40E1"/>
    <w:rsid w:val="00A31CD0"/>
    <w:rsid w:val="00A7705B"/>
    <w:rsid w:val="00A875B4"/>
    <w:rsid w:val="00AB228B"/>
    <w:rsid w:val="00AC6D31"/>
    <w:rsid w:val="00AD3398"/>
    <w:rsid w:val="00AE23D9"/>
    <w:rsid w:val="00AE36E2"/>
    <w:rsid w:val="00AF2219"/>
    <w:rsid w:val="00B570F3"/>
    <w:rsid w:val="00B93901"/>
    <w:rsid w:val="00C678EE"/>
    <w:rsid w:val="00CB514B"/>
    <w:rsid w:val="00CD7A90"/>
    <w:rsid w:val="00D45BEC"/>
    <w:rsid w:val="00D9408B"/>
    <w:rsid w:val="00DD5CB8"/>
    <w:rsid w:val="00E0127C"/>
    <w:rsid w:val="00E24C89"/>
    <w:rsid w:val="00E93FAB"/>
    <w:rsid w:val="00ED21B1"/>
    <w:rsid w:val="00ED530A"/>
    <w:rsid w:val="00FA0434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701B"/>
  <w15:docId w15:val="{E8C89C43-A40B-41F6-A175-F1052D0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7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7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7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7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7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5016-5867-4C59-8707-0D3556B1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Мусонов Михаил Владимирович</cp:lastModifiedBy>
  <cp:revision>2</cp:revision>
  <dcterms:created xsi:type="dcterms:W3CDTF">2021-09-30T22:52:00Z</dcterms:created>
  <dcterms:modified xsi:type="dcterms:W3CDTF">2021-09-30T22:52:00Z</dcterms:modified>
</cp:coreProperties>
</file>