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67" w:rsidRPr="0058509A" w:rsidRDefault="00D60067" w:rsidP="0058509A">
      <w:pPr>
        <w:pStyle w:val="NoSpacing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>7 сессия Подкомитета ИМО по мореплаванию, связи, поиску и спасанию</w:t>
      </w:r>
      <w:r w:rsidR="00FE770B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 xml:space="preserve"> </w:t>
      </w:r>
      <w:r w:rsidRPr="0058509A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>/</w:t>
      </w:r>
      <w:r w:rsidR="00FE770B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 xml:space="preserve"> </w:t>
      </w:r>
      <w:r w:rsidRPr="0058509A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 xml:space="preserve">NCSR7 </w:t>
      </w:r>
      <w:r w:rsidR="00FE770B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br/>
      </w:r>
      <w:r w:rsidRPr="0058509A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>(15</w:t>
      </w:r>
      <w:r w:rsidR="00FE770B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>–</w:t>
      </w:r>
      <w:r w:rsidRPr="0058509A">
        <w:rPr>
          <w:rFonts w:ascii="Times New Roman" w:eastAsia="Times New Roman" w:hAnsi="Times New Roman" w:cs="Times New Roman"/>
          <w:b/>
          <w:spacing w:val="-6"/>
          <w:sz w:val="24"/>
          <w:szCs w:val="24"/>
          <w:lang w:bidi="ru-RU"/>
        </w:rPr>
        <w:t>24 января 2020 г.)</w:t>
      </w:r>
    </w:p>
    <w:p w:rsidR="00D60067" w:rsidRPr="0058509A" w:rsidRDefault="00D60067" w:rsidP="0058509A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</w:p>
    <w:p w:rsidR="00D60067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 сессия Подкомитета ИМО по мореплаванию, связи, поиску и спасанию (NCSR) прошла в Штаб-квартире ИМО в период с 15 по 24 января 2020 г. </w:t>
      </w:r>
    </w:p>
    <w:p w:rsidR="00D60067" w:rsidRPr="0058509A" w:rsidRDefault="00D60067" w:rsidP="0058509A">
      <w:pPr>
        <w:pStyle w:val="NoSpacing"/>
        <w:rPr>
          <w:rFonts w:ascii="Times New Roman" w:hAnsi="Times New Roman" w:cs="Times New Roman"/>
          <w:spacing w:val="-6"/>
          <w:sz w:val="24"/>
          <w:szCs w:val="24"/>
        </w:rPr>
      </w:pPr>
    </w:p>
    <w:p w:rsidR="00D60067" w:rsidRPr="0058509A" w:rsidRDefault="00D60067" w:rsidP="0058509A">
      <w:pPr>
        <w:pStyle w:val="NoSpacing"/>
        <w:ind w:firstLine="708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Индийская региональная спутниковая навигационная система (IRNSS)</w:t>
      </w:r>
    </w:p>
    <w:p w:rsidR="00D60067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NCSR7 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согласился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призна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ть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Индийск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ую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региональн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ую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спутников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ую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навигационн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ую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систем</w:t>
      </w:r>
      <w:r w:rsidR="005131B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(IRNSS) как составн</w:t>
      </w:r>
      <w:r w:rsidR="005131B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ую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част</w:t>
      </w:r>
      <w:r w:rsidR="005131B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ь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всемирной радионавигационной системы. </w:t>
      </w:r>
    </w:p>
    <w:p w:rsidR="00D60067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В этой связи был составлен проект Циркуляра SN и направлен на одобрение в Комитет по безопасности на море (КБМ/ MSC).</w:t>
      </w:r>
    </w:p>
    <w:p w:rsidR="00A11BDF" w:rsidRPr="0058509A" w:rsidRDefault="00A11BDF" w:rsidP="0058509A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Японская региональная </w:t>
      </w:r>
      <w:proofErr w:type="spellStart"/>
      <w:r w:rsidR="00D658C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к</w:t>
      </w:r>
      <w:r w:rsidR="00D658CC"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вази</w:t>
      </w:r>
      <w:proofErr w:type="spellEnd"/>
      <w:r w:rsidR="00D658CC"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-зенитная спутниковая </w:t>
      </w:r>
      <w:r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навигационная система (QZSS)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В отношении обращения Японии для одобрения Японской региональной </w:t>
      </w:r>
      <w:proofErr w:type="spellStart"/>
      <w:r w:rsidR="00D658CC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к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вази</w:t>
      </w:r>
      <w:proofErr w:type="spellEnd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-зенитной спутниковой </w:t>
      </w:r>
      <w:r w:rsidR="00D658CC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навигационной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системы (QZSS)</w:t>
      </w:r>
      <w:r w:rsidR="00FE770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 NCSR7 рассмотрел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D658CC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представленную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информацию.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Япони</w:t>
      </w:r>
      <w:r w:rsidR="00FE770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ю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попросили предоставить дальнейшую информацию и более подробные данные на следующ</w:t>
      </w:r>
      <w:r w:rsidR="005131B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ую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сесси</w:t>
      </w:r>
      <w:r w:rsidR="005131B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ю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Подкомитета, включая, в числе прочего, имеющееся покрытие </w:t>
      </w:r>
      <w:r w:rsidR="005131B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на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региональном </w:t>
      </w:r>
      <w:proofErr w:type="gramStart"/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и  местном</w:t>
      </w:r>
      <w:proofErr w:type="gramEnd"/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5131B2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уровне</w:t>
      </w: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, степень точности и наличие сигнала.</w:t>
      </w:r>
    </w:p>
    <w:p w:rsidR="00707BAA" w:rsidRPr="0058509A" w:rsidRDefault="00707BAA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7 сессия Подкомитета NCSR одобрила проект резолюции КБМ в отношении Эксплуатационных стандартов для судового приемного оборудования QZSS для ее принятия Комитетом по безопасности на море.</w:t>
      </w:r>
      <w:bookmarkStart w:id="0" w:name="_GoBack"/>
      <w:bookmarkEnd w:id="0"/>
    </w:p>
    <w:p w:rsidR="00707BAA" w:rsidRPr="00153690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15369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Разработка эксплуатационных стандартов для судового оборудования, использующего радиосигналы для обеспечения информации и данных для навигации.</w:t>
      </w:r>
    </w:p>
    <w:p w:rsidR="00707BAA" w:rsidRPr="0058509A" w:rsidRDefault="00FE770B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В более широком контексте</w:t>
      </w:r>
      <w:r w:rsidR="00D60067" w:rsidRPr="0015369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7 сессия NCSR пришла к согласию, что разработка эксплуатационных стандартов для судового спутникового навигационного приемного</w:t>
      </w:r>
      <w:r w:rsidR="00D60067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оборудования может быть продолжена. </w:t>
      </w:r>
    </w:p>
    <w:p w:rsidR="00707BAA" w:rsidRPr="0058509A" w:rsidRDefault="00FE770B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Однако</w:t>
      </w:r>
      <w:r w:rsidR="00D60067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это может быть осуществлено только в контексте спутникового навигационного приемного оборудования. От заинтересованных сторон поступили предложения продолжить эту работу в межсессионны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й период с целью ее завершения </w:t>
      </w:r>
      <w:r w:rsidR="00D60067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на 8 сессии Подкомитета по мореплаванию, связи, поиску и спасанию.</w:t>
      </w:r>
    </w:p>
    <w:p w:rsidR="00707BAA" w:rsidRPr="0058509A" w:rsidRDefault="00707BAA" w:rsidP="0058509A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Пересмотренная версия Руководства по </w:t>
      </w:r>
      <w:r w:rsidR="00207F6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системам управления</w:t>
      </w:r>
      <w:r w:rsidR="00207F60"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</w:t>
      </w:r>
      <w:r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движени</w:t>
      </w:r>
      <w:r w:rsidR="00207F60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>ем</w:t>
      </w:r>
      <w:r w:rsidRPr="0058509A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bidi="ru-RU"/>
        </w:rPr>
        <w:t xml:space="preserve"> судов (Резолюция А.857(20))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Завершая работу над пересмотренной версией Руководства по 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системам управления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движени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ем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судов, Подкомитет сделал заклю</w:t>
      </w:r>
      <w:r w:rsidR="00FE770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чение относительно возможности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установления С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ДС за пределами </w:t>
      </w:r>
      <w:proofErr w:type="gramStart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территориальн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ого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моря</w:t>
      </w:r>
      <w:proofErr w:type="gramEnd"/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прибрежного государства. </w:t>
      </w:r>
    </w:p>
    <w:p w:rsidR="00707BAA" w:rsidRPr="0058509A" w:rsidRDefault="00FE770B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С</w:t>
      </w:r>
      <w:r w:rsidR="00D60067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ессия Подкомитета пришла к выводу, что такая возможность имее</w:t>
      </w:r>
      <w:r w:rsidR="005872E2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тся при условии предоставления </w:t>
      </w:r>
      <w:r w:rsidR="00D60067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информации и рекомендаций исключительно на добровольной основе.</w:t>
      </w:r>
    </w:p>
    <w:p w:rsidR="00707BAA" w:rsidRPr="0058509A" w:rsidRDefault="00707BAA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7 сессия </w:t>
      </w:r>
      <w:r w:rsidR="00FE770B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NCSR одобрила проект резолюции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Ассамблеи в отношении Руководства по 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системам </w:t>
      </w:r>
      <w:proofErr w:type="gramStart"/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управления 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движени</w:t>
      </w:r>
      <w:r w:rsidR="00207F60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ем</w:t>
      </w:r>
      <w:proofErr w:type="gramEnd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судов для его последующего одобрения КБМ и принятия Ассамблеей.</w:t>
      </w:r>
    </w:p>
    <w:p w:rsidR="00707BAA" w:rsidRPr="0058509A" w:rsidRDefault="00707BAA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7 сессия NCSR одобрила, с перспективой принятия КБМ, проект поправок к существующим схемам разделения движения и сопутствующим мерам по установлению путей движения судов в отношении следующего: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- консолидированных схем разделения движения и сопутствующих мер по установлению  путей движения судов у берегов Норвегии;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-  схемы разделения движения в «</w:t>
      </w:r>
      <w:proofErr w:type="spellStart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Slupska</w:t>
      </w:r>
      <w:proofErr w:type="spellEnd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proofErr w:type="spellStart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Bank</w:t>
      </w:r>
      <w:proofErr w:type="spellEnd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», Польша;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- схемы разделения движения у берегов </w:t>
      </w:r>
      <w:proofErr w:type="spellStart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Уэсана</w:t>
      </w:r>
      <w:proofErr w:type="spellEnd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.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В дополнение к этому, 7 сессия NCSR одобрила поправки к существующему двустороннему пути между Большим Барьерным </w:t>
      </w:r>
      <w:r w:rsidR="00FE770B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р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ифом и </w:t>
      </w:r>
      <w:r w:rsidR="00FE770B"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</w:t>
      </w: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роливом </w:t>
      </w:r>
      <w:proofErr w:type="spellStart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Торреса</w:t>
      </w:r>
      <w:proofErr w:type="spellEnd"/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.</w:t>
      </w:r>
    </w:p>
    <w:p w:rsidR="00707BAA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>Предполагается, что согласованные выше меры по установлению маршрутов судов будут внедрены через шесть месяцев после их принятия Комитетом по безопасности на море.</w:t>
      </w:r>
    </w:p>
    <w:p w:rsidR="00707BAA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Подкомитет также пришел к соглашению, что существующие принятые меры, изложенные в циркулярах COLREG.2/Circ.58, COLREG.2/Circ.61и COLREG.2/CIRC.62, должны быть отозваны вследствие их полной замены новыми мерами, которые должны быть приняты.</w:t>
      </w:r>
    </w:p>
    <w:p w:rsidR="00707BAA" w:rsidRPr="0058509A" w:rsidRDefault="00707BAA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Актуализация Генерального плана ГМССБ и Руководства по информации по безопасности мореплавания (MSI)</w:t>
      </w:r>
    </w:p>
    <w:p w:rsidR="006109B7" w:rsidRPr="0058509A" w:rsidRDefault="00707BAA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NCSR пришла к соглашению в отношении проекта пересмотренного циркуляра MSC.1/Circ.1364/Rev.1 по Международному руководству </w:t>
      </w:r>
      <w:proofErr w:type="gramStart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 w:rsidR="004B70D7" w:rsidRPr="003319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4B70D7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SafetyNET</w:t>
      </w:r>
      <w:proofErr w:type="spellEnd"/>
      <w:proofErr w:type="gramEnd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который будет направлен в адрес КБМ для одобрения.</w:t>
      </w:r>
    </w:p>
    <w:p w:rsidR="006109B7" w:rsidRPr="0058509A" w:rsidRDefault="006109B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также согласовала проект циркуляра КБМ в отношении Координационной панели ИМО по расширенному групповому вызову, который также будет направлен в адрес КБМ для одобрения.</w:t>
      </w:r>
    </w:p>
    <w:p w:rsidR="006109B7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Руководство по дальнейшей разработке описания морских услуг (MSC.1/Circ.1610)</w:t>
      </w:r>
    </w:p>
    <w:p w:rsidR="006109B7" w:rsidRPr="0058509A" w:rsidRDefault="006109B7" w:rsidP="00FE770B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согласилась, что для продолжения дальнейшей разработки описаний морски</w:t>
      </w:r>
      <w:r w:rsidR="00FE770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х услуг в межсессионный период </w:t>
      </w:r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должен быть привлечен КБМ для создания Рабочей группы по системам информации/ISWG совместно с Комитетом по упрощению формальностей. </w:t>
      </w:r>
    </w:p>
    <w:p w:rsidR="006109B7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Странам-участникам предложено представить предложения по Техническому заданию для NCSR8.</w:t>
      </w:r>
    </w:p>
    <w:p w:rsidR="006109B7" w:rsidRPr="0058509A" w:rsidRDefault="00E04799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Помимо этого</w:t>
      </w:r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7 сессия NCSR пришла к соглашению о том, что Объединенная рабочая группа (JWG) должна поддерживать анализ </w:t>
      </w:r>
      <w:proofErr w:type="spellStart"/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MaritimeService</w:t>
      </w:r>
      <w:proofErr w:type="spellEnd"/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10 (служба оказ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ания помощи на море)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Maritime</w:t>
      </w:r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Service</w:t>
      </w:r>
      <w:proofErr w:type="spellEnd"/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16 (служба поиска и спасания) с целью составления отчетов и рекомендаций будущим сессиям Подкомитета. </w:t>
      </w:r>
    </w:p>
    <w:p w:rsidR="006109B7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Актуализация плана внедрения стратегии Е-навигации</w:t>
      </w:r>
    </w:p>
    <w:p w:rsidR="006109B7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Несмотря на отсутствие отдельных выходных данных, позволяющих провести анализ плана внедрения, заинтересованным сторонам предлагается продолжить работу по актуализации плана внедрения </w:t>
      </w:r>
      <w:r w:rsidR="00E04799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-навигации - Этапа 1 (MSC.1/Circ.1595) в период между сессиями и представить проект на следующей сессии Подкомитета.</w:t>
      </w:r>
    </w:p>
    <w:p w:rsidR="006109B7" w:rsidRPr="0058509A" w:rsidRDefault="006109B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Пересмотренная версия Руководства по местам убежища для судов, нуждающихся в помощи (Резолюция А.949(23))</w:t>
      </w:r>
    </w:p>
    <w:p w:rsidR="006109B7" w:rsidRPr="0058509A" w:rsidRDefault="006109B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NCSR продолжила работу по пересмотру Руководства по местам убежища для судов, нуждающихся в помощи (Резолюция А.949(23)), и в этих целях была создана корреспондентская группа для дальнейшей работы в межсессионный период. </w:t>
      </w:r>
    </w:p>
    <w:p w:rsidR="00F73DB9" w:rsidRPr="0058509A" w:rsidRDefault="00F73DB9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Руководство по информации по безопасности мореплавания (MSI)</w:t>
      </w:r>
    </w:p>
    <w:p w:rsidR="00F73DB9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Кроме уже имеющихся аспектов в отношении Руководства по информации по безопасности мореплавания в SN.1/Circ.243/Rev.2, 7 сессия NCSR пришла к соглашению о том, что наиболее быст</w:t>
      </w:r>
      <w:r w:rsidR="00E04799">
        <w:rPr>
          <w:rFonts w:ascii="Times New Roman" w:eastAsia="Times New Roman" w:hAnsi="Times New Roman" w:cs="Times New Roman"/>
          <w:sz w:val="24"/>
          <w:szCs w:val="24"/>
          <w:lang w:bidi="ru-RU"/>
        </w:rPr>
        <w:t>рый способ решить этот вопрос —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составить поправки к данному документу.</w:t>
      </w:r>
    </w:p>
    <w:p w:rsidR="00F73DB9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Таким образом, проект поправок (SN.1/Circ.243/Rev.2/Corr.1) был направлен в адрес КБМ для одобрения.</w:t>
      </w:r>
    </w:p>
    <w:p w:rsidR="007A40A1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Предоставление информации</w:t>
      </w:r>
    </w:p>
    <w:p w:rsidR="007A40A1" w:rsidRPr="0058509A" w:rsidRDefault="007A40A1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рассмотрела разработку технического решения для получения и распространения информации по безопасности мореплавания и информации по поиску и спасанию через признанные мобильные спутниковые службы и мониторинга передачи информации по безопасности мореплавания в новой среде с участием нескольких провайдеров.</w:t>
      </w:r>
    </w:p>
    <w:p w:rsidR="007A40A1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Вслед за </w:t>
      </w:r>
      <w:r w:rsidR="00C06A4A">
        <w:rPr>
          <w:rFonts w:ascii="Times New Roman" w:eastAsia="Times New Roman" w:hAnsi="Times New Roman" w:cs="Times New Roman"/>
          <w:sz w:val="24"/>
          <w:szCs w:val="24"/>
          <w:lang w:bidi="ru-RU"/>
        </w:rPr>
        <w:t>длительными</w:t>
      </w:r>
      <w:r w:rsidR="00E0479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обсуждениями в ходе сессии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продолжилась деятельность по разработке технического решения для получения и распространения информации по безопасности мореплавания и поиску и спасанию через признанных моб</w:t>
      </w:r>
      <w:r w:rsidR="00E04799">
        <w:rPr>
          <w:rFonts w:ascii="Times New Roman" w:eastAsia="Times New Roman" w:hAnsi="Times New Roman" w:cs="Times New Roman"/>
          <w:sz w:val="24"/>
          <w:szCs w:val="24"/>
          <w:lang w:bidi="ru-RU"/>
        </w:rPr>
        <w:t>ильных спутниковых провайдеров</w:t>
      </w:r>
      <w:r w:rsidR="00C06A4A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которая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будет проанализирована на предстоящих сессиях Подкомитета.</w:t>
      </w:r>
    </w:p>
    <w:p w:rsidR="007A40A1" w:rsidRPr="0058509A" w:rsidRDefault="00D60067" w:rsidP="0058509A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Помимо этого, 7 сессия NCSR пришла к соглашению, что нет необходимости в Положении о взаимодействии, как предлагалось ранее, т.</w:t>
      </w:r>
      <w:r w:rsidR="00B35EED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к. все заинтересованные стороны уже координируют свои усилия в этом направлении.</w:t>
      </w:r>
    </w:p>
    <w:p w:rsidR="007A40A1" w:rsidRPr="0058509A" w:rsidRDefault="007A40A1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>Поправки к Главам III и IV Конвенции СОЛАС</w:t>
      </w:r>
    </w:p>
    <w:p w:rsidR="00E660EF" w:rsidRPr="0058509A" w:rsidRDefault="007A40A1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в принципе согласовала проект поправок к главам III и IV Конвенции СОЛАС в отношении следующих аспектов:</w:t>
      </w:r>
    </w:p>
    <w:p w:rsidR="00E660EF" w:rsidRPr="0058509A" w:rsidRDefault="00D60067" w:rsidP="0058509A">
      <w:pPr>
        <w:pStyle w:val="NoSpacing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Глава III - Спасательные устройства и приспособления:</w:t>
      </w:r>
    </w:p>
    <w:p w:rsidR="00E660EF" w:rsidRPr="0058509A" w:rsidRDefault="00E660EF" w:rsidP="0058509A">
      <w:pPr>
        <w:pStyle w:val="NoSpacing"/>
        <w:spacing w:line="211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В: Требования к судовым спасательным устройствам и приспособлениям;</w:t>
      </w:r>
    </w:p>
    <w:p w:rsidR="00A62B47" w:rsidRPr="0058509A" w:rsidRDefault="00D60067" w:rsidP="0058509A">
      <w:pPr>
        <w:pStyle w:val="NoSpacing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Глава IV </w:t>
      </w:r>
      <w:r w:rsidR="005872E2">
        <w:rPr>
          <w:rFonts w:ascii="Times New Roman" w:eastAsia="Times New Roman" w:hAnsi="Times New Roman" w:cs="Times New Roman"/>
          <w:sz w:val="24"/>
          <w:szCs w:val="24"/>
          <w:lang w:bidi="ru-RU"/>
        </w:rPr>
        <w:t>–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Радиосвязь</w:t>
      </w:r>
      <w:r w:rsidR="005872E2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А: Общие положения части В: - Обязательства правительств-участников Конвенции;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С: Требования к судну;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Форма Свидетельства по безопасности для пассажирского судна;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Перечень оборудования для безопасности пассажирского судна (Форма P);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Перечень оборудования для Свидетельства по безопасности грузового судна по оборудованию (Форма Е);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Форма Свидетельства по безопасности грузового судна по радиооборудованию;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Перечень оборудования для безопасности грузового судна по радиооборудованию (Форма R);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Форма Свидетельства по безопасности для грузовых судов; Перечень оборудования для безопасности грузового судна (Форма С);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Форма Свидетельства по безопасности атомного пассажирского судна и Перечень оборудования для Свидетельства по безопасности пассажирского судна по оборудованию (Форма Р);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Форма Свидетельства по безопасности для атомных грузовых судов;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Перечень оборудования для Свидетельства по безопасности атомного грузового судна (Форма С).</w:t>
      </w:r>
    </w:p>
    <w:p w:rsidR="00A62B47" w:rsidRPr="0058509A" w:rsidRDefault="00B35EED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 дополнение к этому</w:t>
      </w:r>
      <w:r w:rsidR="00D60067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были определены последующие поправки к приведенным ниже существующим инструментам:</w:t>
      </w:r>
    </w:p>
    <w:p w:rsidR="00A62B47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Резолюция А.702 (17) в отношении Руководства по обслуживанию радиооборудования ГМССБ, относящегося к морским районам А3 и А4;</w:t>
      </w:r>
    </w:p>
    <w:p w:rsidR="00A62B47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MSC/Circ.1039 в отношении Руководства по береговому обслуживанию спутниковых судовых аварийных радиобуев/EPIRB - MSC.1/Circ.1040/Rev.1 в отношении Руководства по ежегодном испытаниям спутниковых аварийных радиобуев 406 </w:t>
      </w:r>
      <w:proofErr w:type="spellStart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мГц</w:t>
      </w:r>
      <w:proofErr w:type="spellEnd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EPIRB - COMSAR/Circ.32;</w:t>
      </w:r>
    </w:p>
    <w:p w:rsidR="00A62B47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Резолюция А.707 (17) в отношении Изменений по сигналам бедствия, срочным сигналам и сигналам о безопасности через систему </w:t>
      </w:r>
      <w:proofErr w:type="spellStart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Inmarsat</w:t>
      </w:r>
      <w:proofErr w:type="spellEnd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A62B47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- План работы по анализу существующим инструментов, относящихся к поправкам к Главам III и IV Конвенции СОЛАС.</w:t>
      </w:r>
    </w:p>
    <w:p w:rsidR="00A62B47" w:rsidRPr="00153690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Эффекты электромагнитн</w:t>
      </w:r>
      <w:r w:rsidR="004B70D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ых</w:t>
      </w:r>
      <w:r w:rsidRPr="0058509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="004B70D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помех </w:t>
      </w:r>
      <w:r w:rsidRPr="0058509A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(EMI) систем освещения с применением светоизлучающих диодов</w:t>
      </w:r>
      <w:r w:rsidR="00153690" w:rsidRPr="0033197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(</w:t>
      </w:r>
      <w:r w:rsidR="00153690">
        <w:rPr>
          <w:rFonts w:ascii="Times New Roman" w:eastAsia="Times New Roman" w:hAnsi="Times New Roman" w:cs="Times New Roman"/>
          <w:b/>
          <w:sz w:val="24"/>
          <w:szCs w:val="24"/>
          <w:lang w:val="en-US" w:bidi="ru-RU"/>
        </w:rPr>
        <w:t>LED</w:t>
      </w:r>
      <w:r w:rsidR="00153690" w:rsidRPr="0033197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)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рассмотрела потенциальное воздействие эффектов электромагнитн</w:t>
      </w:r>
      <w:r w:rsidR="004B70D7">
        <w:rPr>
          <w:rFonts w:ascii="Times New Roman" w:eastAsia="Times New Roman" w:hAnsi="Times New Roman" w:cs="Times New Roman"/>
          <w:sz w:val="24"/>
          <w:szCs w:val="24"/>
          <w:lang w:bidi="ru-RU"/>
        </w:rPr>
        <w:t>ых</w:t>
      </w:r>
      <w:r w:rsidR="003319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B70D7">
        <w:rPr>
          <w:rFonts w:ascii="Times New Roman" w:eastAsia="Times New Roman" w:hAnsi="Times New Roman" w:cs="Times New Roman"/>
          <w:sz w:val="24"/>
          <w:szCs w:val="24"/>
          <w:lang w:bidi="ru-RU"/>
        </w:rPr>
        <w:t>помех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и, помимо прочего, систем освещения с применением светоизлучающих диодов</w:t>
      </w:r>
      <w:r w:rsidR="004B70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4B70D7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LED</w:t>
      </w:r>
      <w:r w:rsidR="004B70D7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безопасность судна и предложила заинтересованным сторонам представить предложения на следующей сессии Экспертной группы ИМО/ITU (МСЭ).</w:t>
      </w:r>
    </w:p>
    <w:p w:rsidR="00A62B47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 рекомендаций ITU-R M.585-7 по оценке и применению идентификации в морской мобильной службе.</w:t>
      </w:r>
    </w:p>
    <w:p w:rsidR="00A62B47" w:rsidRPr="0058509A" w:rsidRDefault="00A62B4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одобрила Положение о взаимодействии в отношении рекомендации ITU-R М.585-7 по Оценке и применению идентификации в морской мобильной службе для Группы В AMRD с применением технологии AIS, которые будут направлены в адрес ITU-R WP 58.</w:t>
      </w:r>
    </w:p>
    <w:p w:rsidR="00A62B47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Защита дециметрового диапазона систем морской спутниковой связи</w:t>
      </w:r>
    </w:p>
    <w:p w:rsidR="00DE54C3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При рассмотрении позиции CEPT ECC в отношении децим</w:t>
      </w:r>
      <w:r w:rsidR="00B35EED">
        <w:rPr>
          <w:rFonts w:ascii="Times New Roman" w:eastAsia="Times New Roman" w:hAnsi="Times New Roman" w:cs="Times New Roman"/>
          <w:sz w:val="24"/>
          <w:szCs w:val="24"/>
          <w:lang w:bidi="ru-RU"/>
        </w:rPr>
        <w:t>етрового диапазона систем связи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Подкомитет одобрил Положение о взаимодействии по</w:t>
      </w:r>
      <w:r w:rsidR="005872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защите дециметрового диапазона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морской спутниковой связи, которое будет направлено в адрес CEPTECC.</w:t>
      </w:r>
    </w:p>
    <w:p w:rsidR="00DE54C3" w:rsidRPr="0058509A" w:rsidRDefault="00D60067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Последующие поправки к резолюции MSC.163 (78), MSC.333(90) и MSC/CIRC.882 в отношении принятия резолюции MSC.471(101).</w:t>
      </w:r>
    </w:p>
    <w:p w:rsidR="00DE54C3" w:rsidRPr="0058509A" w:rsidRDefault="00DE54C3" w:rsidP="0058509A">
      <w:pPr>
        <w:pStyle w:val="NoSpacing"/>
        <w:spacing w:line="21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направит проект пересмотренных резолюций MSC.163 (78) и MSC.333(90) на следующей сессии Экспертной группы ИМО/ITU (МСЭ) для дальнейшего рассмотрения.</w:t>
      </w:r>
    </w:p>
    <w:p w:rsidR="00DE54C3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Статус программы КОСПАС-СОРСАТ</w:t>
      </w:r>
    </w:p>
    <w:p w:rsidR="00DE54C3" w:rsidRPr="0058509A" w:rsidRDefault="00DE54C3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 сессия NCSR c удовлетворением отметила продолжающийся успех Программы КОСПАС-САРСАТ, который может</w:t>
      </w:r>
      <w:r w:rsidR="00B35EE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измерен тем фактом, что 2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185 человек были спасены в ходе 904 операций по поиску и спасанию, проведенных за время действия программы.</w:t>
      </w:r>
    </w:p>
    <w:p w:rsidR="00DE54C3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этой связи Подкомитет призвал Администрации вступить в соглашения </w:t>
      </w:r>
      <w:proofErr w:type="gramStart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 </w:t>
      </w:r>
      <w:r w:rsidR="00636E9E" w:rsidRPr="0033197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36E9E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SPOC</w:t>
      </w:r>
      <w:proofErr w:type="gramEnd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(контактными пунктами для поисково-спасательных операций и поддерживающими их </w:t>
      </w:r>
      <w:r w:rsidR="001901D6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MCC</w:t>
      </w:r>
      <w:r w:rsidR="001901D6"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(мобильными центрами управления), на основании модели, имеющейся на сайте КОСПАС-САРСАТ, и дать указания ICAO/IMOJWG по разработке применимой методологии для спасательно-координационных центров с целью предоставления обратной связи по действиям, предпринимаемым в случае поиска и спасания.</w:t>
      </w:r>
    </w:p>
    <w:p w:rsidR="00DE54C3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Руководство по гармонизированным аэронавигационным и морским процедурам поиска и спасания, включая вопросы обучения поиску и спасанию</w:t>
      </w:r>
    </w:p>
    <w:p w:rsidR="00DE54C3" w:rsidRPr="0058509A" w:rsidRDefault="00DE54C3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одобрила проект циркуляра COMSAR по Промежуточному руководству службами поиска и спасания в отношении внедрения автономного отслеживания в случае бедствия воздушных судов, осуществляющих полет (ADT). Помимо этого, Подкомитет дал указания объединенной рабочей группе рассмотреть результаты взаимодействия морских судов и воздушного транспорта в рамках имеющихся ГМССБ/ГАСCБ.</w:t>
      </w:r>
    </w:p>
    <w:p w:rsidR="00A1333B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Применение просроченных батарей первичных элементов для тестирования и проверки работы установки двусторонней радиосвязи УКВ-диапазона</w:t>
      </w:r>
    </w:p>
    <w:p w:rsidR="00A1333B" w:rsidRPr="0058509A" w:rsidRDefault="00A1333B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пришла к соглашению, что просрочен</w:t>
      </w:r>
      <w:r w:rsidR="00BB2238">
        <w:rPr>
          <w:rFonts w:ascii="Times New Roman" w:eastAsia="Times New Roman" w:hAnsi="Times New Roman" w:cs="Times New Roman"/>
          <w:sz w:val="24"/>
          <w:szCs w:val="24"/>
          <w:lang w:bidi="ru-RU"/>
        </w:rPr>
        <w:t>ные батареи первичных элементов в соответствии с MSC.149(77)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могут использоваться для тестирования и проверки работы установки двусторонней радиосвязи УКВ- диапазона. </w:t>
      </w:r>
    </w:p>
    <w:p w:rsidR="00A1333B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этим должна быть актуализирована резолюция A.1120(30).</w:t>
      </w:r>
    </w:p>
    <w:p w:rsidR="00A1333B" w:rsidRPr="001901D6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Сроки годности батарей носимых установок радиосвязи УКВ-диапазона для спасательных </w:t>
      </w:r>
      <w:r w:rsidR="001901D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средств</w:t>
      </w:r>
    </w:p>
    <w:p w:rsidR="00A1333B" w:rsidRPr="0058509A" w:rsidRDefault="00A1333B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NCSR пришла к соглашению, что сроки годности батарей носимых радиоустановок УКВ-диапазона для спасательных </w:t>
      </w:r>
      <w:r w:rsidR="001901D6">
        <w:rPr>
          <w:rFonts w:ascii="Times New Roman" w:eastAsia="Times New Roman" w:hAnsi="Times New Roman" w:cs="Times New Roman"/>
          <w:sz w:val="24"/>
          <w:szCs w:val="24"/>
          <w:lang w:bidi="ru-RU"/>
        </w:rPr>
        <w:t>средств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должны быть четко определены и промаркированы на оборудовании. </w:t>
      </w:r>
    </w:p>
    <w:p w:rsidR="00A1333B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Это позволит гарантировать, что приведенное ниже требование не будет разрабатываться с целью получения коммерческого преимущества в ущерб безопасности. </w:t>
      </w:r>
    </w:p>
    <w:p w:rsidR="00A1333B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этим должна быть актуализирована резолюция A.149(77).</w:t>
      </w:r>
    </w:p>
    <w:p w:rsidR="00A1333B" w:rsidRPr="0058509A" w:rsidRDefault="00A1333B" w:rsidP="0058509A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Типовые курсы</w:t>
      </w:r>
    </w:p>
    <w:p w:rsidR="00A1333B" w:rsidRPr="0058509A" w:rsidRDefault="00D60067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Продолжается работа по проведению анализа типовых курсов 3.13 «Управлени</w:t>
      </w:r>
      <w:r w:rsidR="00BB2238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поиском и спасанием» (Руководство IAMSAR, том I) и 3.15 «Координатор поиска и спасания на месте» (Руководство IAMSAR, том III) с целью их оценки на 8 сессии Подкомитета NCSR.</w:t>
      </w:r>
    </w:p>
    <w:p w:rsidR="00A1333B" w:rsidRPr="0058509A" w:rsidRDefault="00A1333B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NCSR пришла к соглашению рассмотреть предложения для 8 сессии NCSR от стран-участников и международных организаций в отношении анализа типового курса 3.08 по Освидетельствованию средств навигации и оборудования.</w:t>
      </w:r>
    </w:p>
    <w:p w:rsidR="00A1333B" w:rsidRPr="0058509A" w:rsidRDefault="00A1333B" w:rsidP="0058509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Корреспондентская группа, созданная на 7 сессии NCSR</w:t>
      </w:r>
    </w:p>
    <w:p w:rsidR="00A1333B" w:rsidRPr="0058509A" w:rsidRDefault="00A1333B" w:rsidP="00585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1. Корреспондентская группа по пересмотру Руководства по местам убежища для судов, нуждающихся в помощи (резолюция A.949(23));</w:t>
      </w:r>
    </w:p>
    <w:p w:rsidR="00E24C89" w:rsidRPr="0058509A" w:rsidRDefault="00A1333B" w:rsidP="005850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 Корреспондентская группа по мерам безопасности для судов, не рассматриваемых в Конвенции СОЛАС, </w:t>
      </w:r>
      <w:proofErr w:type="spellStart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5850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полярных водах. </w:t>
      </w:r>
    </w:p>
    <w:sectPr w:rsidR="00E24C89" w:rsidRPr="0058509A" w:rsidSect="0058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7"/>
    <w:rsid w:val="00033B46"/>
    <w:rsid w:val="0013674E"/>
    <w:rsid w:val="00153690"/>
    <w:rsid w:val="00167513"/>
    <w:rsid w:val="001901D6"/>
    <w:rsid w:val="00207F60"/>
    <w:rsid w:val="0024260D"/>
    <w:rsid w:val="0024730E"/>
    <w:rsid w:val="00271DA1"/>
    <w:rsid w:val="002A1D3B"/>
    <w:rsid w:val="0033197F"/>
    <w:rsid w:val="003F128D"/>
    <w:rsid w:val="003F68EB"/>
    <w:rsid w:val="004B70D7"/>
    <w:rsid w:val="004C315D"/>
    <w:rsid w:val="00500D69"/>
    <w:rsid w:val="005131B2"/>
    <w:rsid w:val="005140F6"/>
    <w:rsid w:val="0058509A"/>
    <w:rsid w:val="005872E2"/>
    <w:rsid w:val="006068BE"/>
    <w:rsid w:val="006109B7"/>
    <w:rsid w:val="00636E9E"/>
    <w:rsid w:val="006B6DCD"/>
    <w:rsid w:val="00707BAA"/>
    <w:rsid w:val="00747922"/>
    <w:rsid w:val="007A40A1"/>
    <w:rsid w:val="008F78C3"/>
    <w:rsid w:val="00912D58"/>
    <w:rsid w:val="009754F2"/>
    <w:rsid w:val="00A11BDF"/>
    <w:rsid w:val="00A1333B"/>
    <w:rsid w:val="00A62B47"/>
    <w:rsid w:val="00A75941"/>
    <w:rsid w:val="00AE23D9"/>
    <w:rsid w:val="00AF7148"/>
    <w:rsid w:val="00B35EED"/>
    <w:rsid w:val="00B45562"/>
    <w:rsid w:val="00B85066"/>
    <w:rsid w:val="00BB2238"/>
    <w:rsid w:val="00BB712E"/>
    <w:rsid w:val="00C06A4A"/>
    <w:rsid w:val="00CB493B"/>
    <w:rsid w:val="00D60067"/>
    <w:rsid w:val="00D658CC"/>
    <w:rsid w:val="00DE54C3"/>
    <w:rsid w:val="00E04799"/>
    <w:rsid w:val="00E24C89"/>
    <w:rsid w:val="00E660EF"/>
    <w:rsid w:val="00F73DB9"/>
    <w:rsid w:val="00FD55BC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CBE3D-AA41-40D2-87BB-AE87DCED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06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12933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s217</dc:creator>
  <cp:lastModifiedBy>Мусонов Михаил Владимирович</cp:lastModifiedBy>
  <cp:revision>4</cp:revision>
  <dcterms:created xsi:type="dcterms:W3CDTF">2020-06-22T06:29:00Z</dcterms:created>
  <dcterms:modified xsi:type="dcterms:W3CDTF">2020-06-22T11:09:00Z</dcterms:modified>
</cp:coreProperties>
</file>