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47"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b/>
          <w:color w:val="000000"/>
          <w:sz w:val="28"/>
        </w:rPr>
        <w:t xml:space="preserve">18 – 22 апреля </w:t>
      </w:r>
      <w:r w:rsidR="00875E47">
        <w:rPr>
          <w:rFonts w:ascii="Times New Roman" w:hAnsi="Times New Roman"/>
          <w:b/>
          <w:color w:val="000000"/>
          <w:sz w:val="28"/>
        </w:rPr>
        <w:t xml:space="preserve">2016 года </w:t>
      </w:r>
      <w:r>
        <w:rPr>
          <w:rFonts w:ascii="Times New Roman" w:hAnsi="Times New Roman"/>
          <w:b/>
          <w:color w:val="000000"/>
          <w:sz w:val="28"/>
        </w:rPr>
        <w:t>в штаб-квартире Международной морской организации (ИМО) в Лондоне сос</w:t>
      </w:r>
      <w:r w:rsidR="00875E47">
        <w:rPr>
          <w:rFonts w:ascii="Times New Roman" w:hAnsi="Times New Roman"/>
          <w:b/>
          <w:color w:val="000000"/>
          <w:sz w:val="28"/>
        </w:rPr>
        <w:t>тоялась 69-я сессия Комитета по </w:t>
      </w:r>
      <w:r>
        <w:rPr>
          <w:rFonts w:ascii="Times New Roman" w:hAnsi="Times New Roman"/>
          <w:b/>
          <w:color w:val="000000"/>
          <w:sz w:val="28"/>
        </w:rPr>
        <w:t>защите морской среды (КЗМС) ИМО.</w:t>
      </w:r>
      <w:r>
        <w:rPr>
          <w:rFonts w:ascii="Times New Roman" w:hAnsi="Times New Roman"/>
          <w:color w:val="000000"/>
          <w:sz w:val="28"/>
        </w:rPr>
        <w:t xml:space="preserve"> </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Комитет:</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принял поправки к Дополнению I Приложения II Конвенции МАРПОЛ касательно пересмотренного порядка выполнения оценки степени опасности, разработанного Объединенной группой экспертов по научным аспектам охраны морской среды (ГЕСАМП);</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принял поправки к Приложению VI Конвенции МАРПОЛ в отношении ведения записей о соблюдении эксплуатационных требований в районах контроля выбросов окислов азота по уровню Tier III;</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принял поправки к Техническому кодексу по контролю за выбросами окислов азота от 2008 года касательно испытаний газовых и двухтопливных двигателей (будут применяться в отношении двигателей, установленных начиная с 1 сентября 2017 года);</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xml:space="preserve">- принял поправки к Приложению </w:t>
      </w:r>
      <w:r w:rsidR="00875E47">
        <w:rPr>
          <w:rFonts w:ascii="Times New Roman" w:hAnsi="Times New Roman"/>
          <w:color w:val="000000"/>
          <w:sz w:val="28"/>
        </w:rPr>
        <w:t>IV Конвенции МАРПОЛ совместно с </w:t>
      </w:r>
      <w:r>
        <w:rPr>
          <w:rFonts w:ascii="Times New Roman" w:hAnsi="Times New Roman"/>
          <w:color w:val="000000"/>
          <w:sz w:val="28"/>
        </w:rPr>
        <w:t>соответствующей резолюцией КЗМС;</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принял резолюцию КЗМС по установлению даты вступления в силу положений Правила 11.3 Приложения IV Конвенции МАРПОЛ в отношении особого района Балтийского моря, а именно:</w:t>
      </w:r>
    </w:p>
    <w:p w:rsidR="00A00E42" w:rsidRPr="00702424" w:rsidRDefault="00A00E42" w:rsidP="00A00E42">
      <w:pPr>
        <w:shd w:val="clear" w:color="auto" w:fill="FFFFFF"/>
        <w:spacing w:before="100" w:beforeAutospacing="1" w:after="270" w:line="240" w:lineRule="auto"/>
        <w:jc w:val="both"/>
        <w:rPr>
          <w:rFonts w:ascii="Times New Roman" w:eastAsia="Times New Roman" w:hAnsi="Times New Roman" w:cs="Times New Roman"/>
          <w:i/>
          <w:color w:val="000000"/>
          <w:sz w:val="28"/>
          <w:szCs w:val="28"/>
        </w:rPr>
      </w:pPr>
      <w:r>
        <w:rPr>
          <w:rFonts w:ascii="Times New Roman" w:hAnsi="Times New Roman"/>
          <w:i/>
          <w:color w:val="000000"/>
          <w:sz w:val="28"/>
        </w:rPr>
        <w:t>1. с 1 июня 2019 года для новых пассажирских судов;</w:t>
      </w:r>
    </w:p>
    <w:p w:rsidR="00A00E42" w:rsidRPr="00702424" w:rsidRDefault="00A00E42" w:rsidP="00A00E42">
      <w:pPr>
        <w:shd w:val="clear" w:color="auto" w:fill="FFFFFF"/>
        <w:spacing w:before="100" w:beforeAutospacing="1" w:after="270" w:line="240" w:lineRule="auto"/>
        <w:jc w:val="both"/>
        <w:rPr>
          <w:rFonts w:ascii="Times New Roman" w:eastAsia="Times New Roman" w:hAnsi="Times New Roman" w:cs="Times New Roman"/>
          <w:i/>
          <w:color w:val="000000"/>
          <w:sz w:val="28"/>
          <w:szCs w:val="28"/>
        </w:rPr>
      </w:pPr>
      <w:r>
        <w:rPr>
          <w:rFonts w:ascii="Times New Roman" w:hAnsi="Times New Roman"/>
          <w:i/>
          <w:color w:val="000000"/>
          <w:sz w:val="28"/>
        </w:rPr>
        <w:t xml:space="preserve">2. с 1 июня 2021 года для существующих </w:t>
      </w:r>
      <w:r w:rsidR="00875E47">
        <w:rPr>
          <w:rFonts w:ascii="Times New Roman" w:hAnsi="Times New Roman"/>
          <w:i/>
          <w:color w:val="000000"/>
          <w:sz w:val="28"/>
        </w:rPr>
        <w:t>пассажирских судов, отличных от </w:t>
      </w:r>
      <w:r>
        <w:rPr>
          <w:rFonts w:ascii="Times New Roman" w:hAnsi="Times New Roman"/>
          <w:i/>
          <w:color w:val="000000"/>
          <w:sz w:val="28"/>
        </w:rPr>
        <w:t xml:space="preserve">указанных в пункте 1.3; </w:t>
      </w:r>
    </w:p>
    <w:p w:rsidR="00A00E42" w:rsidRPr="00702424" w:rsidRDefault="00A00E42" w:rsidP="00A00E42">
      <w:pPr>
        <w:shd w:val="clear" w:color="auto" w:fill="FFFFFF"/>
        <w:spacing w:before="100" w:beforeAutospacing="1" w:after="270" w:line="240" w:lineRule="auto"/>
        <w:jc w:val="both"/>
        <w:rPr>
          <w:rFonts w:ascii="Times New Roman" w:eastAsia="Times New Roman" w:hAnsi="Times New Roman" w:cs="Times New Roman"/>
          <w:i/>
          <w:color w:val="000000"/>
          <w:sz w:val="28"/>
          <w:szCs w:val="28"/>
        </w:rPr>
      </w:pPr>
      <w:r>
        <w:rPr>
          <w:rFonts w:ascii="Times New Roman" w:hAnsi="Times New Roman"/>
          <w:i/>
          <w:color w:val="000000"/>
          <w:sz w:val="28"/>
        </w:rPr>
        <w:t>3. с 1 июня 2023 для существующих пассажирских судов, непосредственно заходящих или выходящих из любого порта, расположенного за пределами особого района, либо восточнее 28</w:t>
      </w:r>
      <w:r w:rsidR="00875E47">
        <w:rPr>
          <w:rFonts w:ascii="Times New Roman" w:hAnsi="Times New Roman" w:cs="Times New Roman"/>
          <w:i/>
          <w:color w:val="000000"/>
          <w:sz w:val="28"/>
        </w:rPr>
        <w:t>°</w:t>
      </w:r>
      <w:r>
        <w:rPr>
          <w:rFonts w:ascii="Times New Roman" w:hAnsi="Times New Roman"/>
          <w:i/>
          <w:color w:val="000000"/>
          <w:sz w:val="28"/>
        </w:rPr>
        <w:t>10'Е</w:t>
      </w:r>
      <w:r w:rsidR="00875E47">
        <w:rPr>
          <w:rFonts w:ascii="Times New Roman" w:hAnsi="Times New Roman"/>
          <w:i/>
          <w:color w:val="000000"/>
          <w:sz w:val="28"/>
        </w:rPr>
        <w:t xml:space="preserve"> в пределах особого района, без </w:t>
      </w:r>
      <w:r>
        <w:rPr>
          <w:rFonts w:ascii="Times New Roman" w:hAnsi="Times New Roman"/>
          <w:i/>
          <w:color w:val="000000"/>
          <w:sz w:val="28"/>
        </w:rPr>
        <w:t>заходов в какие-либо другие порты в пределах особого района.</w:t>
      </w:r>
    </w:p>
    <w:p w:rsidR="00875E47"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отметил факт увеличения количества стран, ратифицирующих Конвенцию, до 49 (при требуемых 30), общий тоннаж торгового флота которых составляет уже 34,79% от мирового тоннажа (при требуемых 35%). Конвенция об управлении балластными</w:t>
      </w:r>
      <w:r w:rsidR="00875E47">
        <w:rPr>
          <w:rFonts w:ascii="Times New Roman" w:hAnsi="Times New Roman"/>
          <w:color w:val="000000"/>
          <w:sz w:val="28"/>
        </w:rPr>
        <w:t xml:space="preserve"> водами вступит в силу через 12 </w:t>
      </w:r>
      <w:r>
        <w:rPr>
          <w:rFonts w:ascii="Times New Roman" w:hAnsi="Times New Roman"/>
          <w:color w:val="000000"/>
          <w:sz w:val="28"/>
        </w:rPr>
        <w:t>месяцев после ее ратификации;</w:t>
      </w:r>
    </w:p>
    <w:p w:rsidR="00875E47"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отметил факт увеличения количества систем управления балластными водами, имеющих типовое одобрение, до 65;</w:t>
      </w:r>
    </w:p>
    <w:p w:rsidR="001C3E0A"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lastRenderedPageBreak/>
        <w:t>- получил окончательный отсчет по исследованию аспектов применения стандарта качества балластных вод, указанного в Правиле D-2 Конвенции об</w:t>
      </w:r>
      <w:r w:rsidR="00875E47">
        <w:rPr>
          <w:rFonts w:ascii="Times New Roman" w:hAnsi="Times New Roman"/>
          <w:color w:val="000000"/>
          <w:sz w:val="28"/>
        </w:rPr>
        <w:t> </w:t>
      </w:r>
      <w:r>
        <w:rPr>
          <w:rFonts w:ascii="Times New Roman" w:hAnsi="Times New Roman"/>
          <w:color w:val="000000"/>
          <w:sz w:val="28"/>
        </w:rPr>
        <w:t>управлении балластными водами (MEPC 69/4/4). Результаты проведенного исследования предпола</w:t>
      </w:r>
      <w:r w:rsidR="00875E47">
        <w:rPr>
          <w:rFonts w:ascii="Times New Roman" w:hAnsi="Times New Roman"/>
          <w:color w:val="000000"/>
          <w:sz w:val="28"/>
        </w:rPr>
        <w:t>гают соответствие применяемых в </w:t>
      </w:r>
      <w:r>
        <w:rPr>
          <w:rFonts w:ascii="Times New Roman" w:hAnsi="Times New Roman"/>
          <w:color w:val="000000"/>
          <w:sz w:val="28"/>
        </w:rPr>
        <w:t>настоящее время методов испытаний и типового одобрения систем управления балластными водами положениям Руководства по одобрению систем управления балластными водами (G8). Тем не менее, ввиду неоднозначного толкования положений данного Руководства G8, методы испытаний систем управления балластными водами и условия выдачи свидетельств о типовом одобрении несколько различаются. К тому же, недостаточное количество опубликов</w:t>
      </w:r>
      <w:r w:rsidR="00875E47">
        <w:rPr>
          <w:rFonts w:ascii="Times New Roman" w:hAnsi="Times New Roman"/>
          <w:color w:val="000000"/>
          <w:sz w:val="28"/>
        </w:rPr>
        <w:t>анных документов по процессам и </w:t>
      </w:r>
      <w:r>
        <w:rPr>
          <w:rFonts w:ascii="Times New Roman" w:hAnsi="Times New Roman"/>
          <w:color w:val="000000"/>
          <w:sz w:val="28"/>
        </w:rPr>
        <w:t>порядку выполнения проверок снижает уровень прозрачности и может подорвать доверие к методам испытаний и режиму получения одобрения.  Кроме того, результаты исследования также указывают на факт нерегулярной эксплуатации и контроля систем упр</w:t>
      </w:r>
      <w:r w:rsidR="00875E47">
        <w:rPr>
          <w:rFonts w:ascii="Times New Roman" w:hAnsi="Times New Roman"/>
          <w:color w:val="000000"/>
          <w:sz w:val="28"/>
        </w:rPr>
        <w:t>авления балластными водами, что </w:t>
      </w:r>
      <w:r>
        <w:rPr>
          <w:rFonts w:ascii="Times New Roman" w:hAnsi="Times New Roman"/>
          <w:color w:val="000000"/>
          <w:sz w:val="28"/>
        </w:rPr>
        <w:t>ограничивает возможность проведения оценки общей эффективности работы таких систем. Недостаточность так</w:t>
      </w:r>
      <w:r w:rsidR="00875E47">
        <w:rPr>
          <w:rFonts w:ascii="Times New Roman" w:hAnsi="Times New Roman"/>
          <w:color w:val="000000"/>
          <w:sz w:val="28"/>
        </w:rPr>
        <w:t>ого контроля особенно заметна в </w:t>
      </w:r>
      <w:r>
        <w:rPr>
          <w:rFonts w:ascii="Times New Roman" w:hAnsi="Times New Roman"/>
          <w:color w:val="000000"/>
          <w:sz w:val="28"/>
        </w:rPr>
        <w:t>части оценки показателей биологической эффективности и экологической безопасности сбрасываемых вод</w:t>
      </w:r>
      <w:r w:rsidR="00875E47">
        <w:rPr>
          <w:rFonts w:ascii="Times New Roman" w:hAnsi="Times New Roman"/>
          <w:color w:val="000000"/>
          <w:sz w:val="28"/>
        </w:rPr>
        <w:t>;</w:t>
      </w:r>
    </w:p>
    <w:p w:rsidR="00726084"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КЗМС подтвердил «Дорожную карту» (в отношении судовладельцев, установивших системы управления балластными водами до ратификации Конвенции), но при этом потребовал подготовить соответствующие документы и предложения для ее реализации на предстоящей сессии;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Pr>
          <w:rFonts w:ascii="Times New Roman" w:hAnsi="Times New Roman"/>
          <w:color w:val="000000"/>
          <w:sz w:val="28"/>
        </w:rPr>
        <w:t>- отметил прогресс, достигнутый в отношении пересмотра положений Руководства G8</w:t>
      </w:r>
      <w:r w:rsidR="00A61936">
        <w:rPr>
          <w:rFonts w:ascii="Times New Roman" w:hAnsi="Times New Roman"/>
          <w:color w:val="000000"/>
          <w:sz w:val="28"/>
        </w:rPr>
        <w:t>,</w:t>
      </w:r>
      <w:r>
        <w:rPr>
          <w:rFonts w:ascii="Times New Roman" w:hAnsi="Times New Roman"/>
          <w:color w:val="000000"/>
          <w:sz w:val="28"/>
        </w:rPr>
        <w:t xml:space="preserve"> и согласовал возможные направления дальнейших действий в отношении пересмотра положений данного Руководства; </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повторно учредил редакционную группу по вопросам пересмотра Руководства G8;</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xml:space="preserve">- согласовал вопрос об учреждении </w:t>
      </w:r>
      <w:r w:rsidR="00A61936">
        <w:rPr>
          <w:rFonts w:ascii="Times New Roman" w:hAnsi="Times New Roman"/>
          <w:color w:val="000000"/>
          <w:sz w:val="28"/>
        </w:rPr>
        <w:t>межсессионной рабочей группы по </w:t>
      </w:r>
      <w:r>
        <w:rPr>
          <w:rFonts w:ascii="Times New Roman" w:hAnsi="Times New Roman"/>
          <w:color w:val="000000"/>
          <w:sz w:val="28"/>
        </w:rPr>
        <w:t>вопросам пересмотра Руководства G8;</w:t>
      </w:r>
    </w:p>
    <w:p w:rsidR="00875E47"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согласовал проект поправок к Правил</w:t>
      </w:r>
      <w:r w:rsidR="00875E47">
        <w:rPr>
          <w:rFonts w:ascii="Times New Roman" w:hAnsi="Times New Roman"/>
          <w:color w:val="000000"/>
          <w:sz w:val="28"/>
        </w:rPr>
        <w:t>у B-3 (в целях приведения его в </w:t>
      </w:r>
      <w:r>
        <w:rPr>
          <w:rFonts w:ascii="Times New Roman" w:hAnsi="Times New Roman"/>
          <w:color w:val="000000"/>
          <w:sz w:val="28"/>
        </w:rPr>
        <w:t>соответствии с положениями Резолюции A.1088); </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получил отчет о ходе изучения факта наличия топлива с низким содержанием серы в соответствии с поло</w:t>
      </w:r>
      <w:r w:rsidR="00875E47">
        <w:rPr>
          <w:rFonts w:ascii="Times New Roman" w:hAnsi="Times New Roman"/>
          <w:color w:val="000000"/>
          <w:sz w:val="28"/>
        </w:rPr>
        <w:t>жениями Правила 14.8 Приложения </w:t>
      </w:r>
      <w:r>
        <w:rPr>
          <w:rFonts w:ascii="Times New Roman" w:hAnsi="Times New Roman"/>
          <w:color w:val="000000"/>
          <w:sz w:val="28"/>
        </w:rPr>
        <w:t>VI Конвенции МАРПОЛ по итог</w:t>
      </w:r>
      <w:r w:rsidR="00875E47">
        <w:rPr>
          <w:rFonts w:ascii="Times New Roman" w:hAnsi="Times New Roman"/>
          <w:color w:val="000000"/>
          <w:sz w:val="28"/>
        </w:rPr>
        <w:t>ам первого, второго, третьего и </w:t>
      </w:r>
      <w:r>
        <w:rPr>
          <w:rFonts w:ascii="Times New Roman" w:hAnsi="Times New Roman"/>
          <w:color w:val="000000"/>
          <w:sz w:val="28"/>
        </w:rPr>
        <w:t>четвертого заседаний Руководя</w:t>
      </w:r>
      <w:r w:rsidR="00875E47">
        <w:rPr>
          <w:rFonts w:ascii="Times New Roman" w:hAnsi="Times New Roman"/>
          <w:color w:val="000000"/>
          <w:sz w:val="28"/>
        </w:rPr>
        <w:t>щего комитета. В соответствии с </w:t>
      </w:r>
      <w:r>
        <w:rPr>
          <w:rFonts w:ascii="Times New Roman" w:hAnsi="Times New Roman"/>
          <w:color w:val="000000"/>
          <w:sz w:val="28"/>
        </w:rPr>
        <w:t xml:space="preserve">положениями Правила 14.2 Приложения VI Конвенции МАРПОЛ, Комитетом был получен отчет (MEPC 69/5/7) по контролю уровня содержания серы в топливе за 2015 год, согласно которому по сравнению </w:t>
      </w:r>
      <w:r>
        <w:rPr>
          <w:rFonts w:ascii="Times New Roman" w:hAnsi="Times New Roman"/>
          <w:color w:val="000000"/>
          <w:sz w:val="28"/>
        </w:rPr>
        <w:lastRenderedPageBreak/>
        <w:t>с</w:t>
      </w:r>
      <w:r w:rsidR="00875E47">
        <w:rPr>
          <w:rFonts w:ascii="Times New Roman" w:hAnsi="Times New Roman"/>
          <w:color w:val="000000"/>
          <w:sz w:val="28"/>
        </w:rPr>
        <w:t> </w:t>
      </w:r>
      <w:r>
        <w:rPr>
          <w:rFonts w:ascii="Times New Roman" w:hAnsi="Times New Roman"/>
          <w:color w:val="000000"/>
          <w:sz w:val="28"/>
        </w:rPr>
        <w:t>2014 годом среднегодовой уровень содержания серы в испытанных образцах топочного мазута снизился н</w:t>
      </w:r>
      <w:r w:rsidR="00875E47">
        <w:rPr>
          <w:rFonts w:ascii="Times New Roman" w:hAnsi="Times New Roman"/>
          <w:color w:val="000000"/>
          <w:sz w:val="28"/>
        </w:rPr>
        <w:t>а 0.01% (с 2,46% до 2,45%), а в </w:t>
      </w:r>
      <w:r>
        <w:rPr>
          <w:rFonts w:ascii="Times New Roman" w:hAnsi="Times New Roman"/>
          <w:color w:val="000000"/>
          <w:sz w:val="28"/>
        </w:rPr>
        <w:t xml:space="preserve">испытанных образцах дистиллятного топлива </w:t>
      </w:r>
      <w:r w:rsidR="00875E47">
        <w:rPr>
          <w:rFonts w:ascii="Times New Roman" w:hAnsi="Times New Roman"/>
          <w:color w:val="000000"/>
          <w:sz w:val="28"/>
        </w:rPr>
        <w:t>– на 0,04% (с 0,12% до </w:t>
      </w:r>
      <w:r>
        <w:rPr>
          <w:rFonts w:ascii="Times New Roman" w:hAnsi="Times New Roman"/>
          <w:color w:val="000000"/>
          <w:sz w:val="28"/>
        </w:rPr>
        <w:t>0,08%);</w:t>
      </w:r>
    </w:p>
    <w:p w:rsidR="00A61936"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получил промежуточный отчет редакционной группы в отношении изучения вопросов, относящихся к конструктивному коэффициенту энергоэффективности (EEDI) в соответствии с положениями Правила 21.6 Приложения VI Конвенции МАРПОЛ.</w:t>
      </w:r>
      <w:r w:rsidR="00875E47">
        <w:rPr>
          <w:rFonts w:ascii="Times New Roman" w:eastAsia="Times New Roman" w:hAnsi="Times New Roman" w:cs="Times New Roman"/>
          <w:color w:val="000000"/>
          <w:sz w:val="28"/>
          <w:szCs w:val="28"/>
        </w:rPr>
        <w:t xml:space="preserve"> </w:t>
      </w:r>
      <w:r w:rsidR="00875E47">
        <w:rPr>
          <w:rFonts w:ascii="Times New Roman" w:hAnsi="Times New Roman"/>
          <w:color w:val="000000"/>
          <w:sz w:val="28"/>
        </w:rPr>
        <w:t>Комитет не смог согласится с </w:t>
      </w:r>
      <w:r>
        <w:rPr>
          <w:rFonts w:ascii="Times New Roman" w:hAnsi="Times New Roman"/>
          <w:color w:val="000000"/>
          <w:sz w:val="28"/>
        </w:rPr>
        <w:t>рекомендацией редакционной группы о необходимости сохранения сроков, значений параметров контрольных линий EEDI для соответствующих типов судов, а также уровней сокращения выбросов, предусмотренных в Правиле 21 Приложения VI Конвенции МАРПОЛ. О</w:t>
      </w:r>
      <w:r w:rsidR="00A61936">
        <w:rPr>
          <w:rFonts w:ascii="Times New Roman" w:hAnsi="Times New Roman"/>
          <w:color w:val="000000"/>
          <w:sz w:val="28"/>
        </w:rPr>
        <w:t>бсуждение данного вопроса будет </w:t>
      </w:r>
      <w:r>
        <w:rPr>
          <w:rFonts w:ascii="Times New Roman" w:hAnsi="Times New Roman"/>
          <w:color w:val="000000"/>
          <w:sz w:val="28"/>
        </w:rPr>
        <w:t>продолжено на предстоящей сессии, в том числе и с членами редакционной группы;</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принял во внимание рекомендации группы касательно сроков изучения вопросов, относящихся  к EEDI; </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отметил рекомендации группы касательно необходимости рассмотрения вопросов минимальной пропульсивной мощности для обеспечения достаточной маневренности судов в небл</w:t>
      </w:r>
      <w:r w:rsidR="00875E47">
        <w:rPr>
          <w:rFonts w:ascii="Times New Roman" w:hAnsi="Times New Roman"/>
          <w:color w:val="000000"/>
          <w:sz w:val="28"/>
        </w:rPr>
        <w:t>агоприятных погодных условиях в </w:t>
      </w:r>
      <w:r>
        <w:rPr>
          <w:rFonts w:ascii="Times New Roman" w:hAnsi="Times New Roman"/>
          <w:color w:val="000000"/>
          <w:sz w:val="28"/>
        </w:rPr>
        <w:t>соответствии с Правилом 21.5 Приложения VI Конвенции МАРПОЛ отдельно от изучения вопросов, относящихся к EEDI;</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согласовал проект технического зад</w:t>
      </w:r>
      <w:r w:rsidR="00875E47">
        <w:rPr>
          <w:rFonts w:ascii="Times New Roman" w:hAnsi="Times New Roman"/>
          <w:color w:val="000000"/>
          <w:sz w:val="28"/>
        </w:rPr>
        <w:t>ания для редакционной группы по </w:t>
      </w:r>
      <w:r>
        <w:rPr>
          <w:rFonts w:ascii="Times New Roman" w:hAnsi="Times New Roman"/>
          <w:color w:val="000000"/>
          <w:sz w:val="28"/>
        </w:rPr>
        <w:t>вопросам изучения вопросов, отно</w:t>
      </w:r>
      <w:r w:rsidR="00875E47">
        <w:rPr>
          <w:rFonts w:ascii="Times New Roman" w:hAnsi="Times New Roman"/>
          <w:color w:val="000000"/>
          <w:sz w:val="28"/>
        </w:rPr>
        <w:t>сящихся к EEDI в соответствии с </w:t>
      </w:r>
      <w:r>
        <w:rPr>
          <w:rFonts w:ascii="Times New Roman" w:hAnsi="Times New Roman"/>
          <w:color w:val="000000"/>
          <w:sz w:val="28"/>
        </w:rPr>
        <w:t>требованиями Правила 21.6 Приложения VI Конвенции МАРПОЛ;</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принял во внимание рекомендации гр</w:t>
      </w:r>
      <w:r w:rsidR="00875E47">
        <w:rPr>
          <w:rFonts w:ascii="Times New Roman" w:hAnsi="Times New Roman"/>
          <w:color w:val="000000"/>
          <w:sz w:val="28"/>
        </w:rPr>
        <w:t>уппы по методу расчета EEDI для </w:t>
      </w:r>
      <w:r>
        <w:rPr>
          <w:rFonts w:ascii="Times New Roman" w:hAnsi="Times New Roman"/>
          <w:color w:val="000000"/>
          <w:sz w:val="28"/>
        </w:rPr>
        <w:t>судов с двухтопливными двигателями;</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одобрил проект циркуляра К</w:t>
      </w:r>
      <w:r w:rsidR="00875E47">
        <w:rPr>
          <w:rFonts w:ascii="Times New Roman" w:hAnsi="Times New Roman"/>
          <w:color w:val="000000"/>
          <w:sz w:val="28"/>
        </w:rPr>
        <w:t>ЗМС в отношении рекомендаций по </w:t>
      </w:r>
      <w:r>
        <w:rPr>
          <w:rFonts w:ascii="Times New Roman" w:hAnsi="Times New Roman"/>
          <w:color w:val="000000"/>
          <w:sz w:val="28"/>
        </w:rPr>
        <w:t xml:space="preserve">освобождению от выполнения требований Главы 4 Приложения VI Конвенции МАРПОЛ; </w:t>
      </w:r>
    </w:p>
    <w:p w:rsidR="00A61936" w:rsidRDefault="00726084" w:rsidP="00726084">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отметил факт признания группой необходимости внесения в Главу 4 Приложения VI Конвенции МАРП</w:t>
      </w:r>
      <w:r w:rsidR="00875E47">
        <w:rPr>
          <w:rFonts w:ascii="Times New Roman" w:hAnsi="Times New Roman"/>
          <w:color w:val="000000"/>
          <w:sz w:val="28"/>
        </w:rPr>
        <w:t>ОЛ положений об освобождении от </w:t>
      </w:r>
      <w:r>
        <w:rPr>
          <w:rFonts w:ascii="Times New Roman" w:hAnsi="Times New Roman"/>
          <w:color w:val="000000"/>
          <w:sz w:val="28"/>
        </w:rPr>
        <w:t>выполнения требований наряду с формой сертификата, подтверждающего освобождение от их выполнения; </w:t>
      </w:r>
    </w:p>
    <w:p w:rsidR="00095EB0" w:rsidRDefault="00726084" w:rsidP="00726084">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rPr>
        <w:t>- одобрил (для принятия на 70-й</w:t>
      </w:r>
      <w:r w:rsidR="00875E47">
        <w:rPr>
          <w:rFonts w:ascii="Times New Roman" w:hAnsi="Times New Roman"/>
          <w:color w:val="000000"/>
          <w:sz w:val="28"/>
        </w:rPr>
        <w:t xml:space="preserve"> сессии КЗМС) проект поправок к </w:t>
      </w:r>
      <w:r>
        <w:rPr>
          <w:rFonts w:ascii="Times New Roman" w:hAnsi="Times New Roman"/>
          <w:color w:val="000000"/>
          <w:sz w:val="28"/>
        </w:rPr>
        <w:t xml:space="preserve">Приложению VI Конвенции МАРПОЛ, которые предусматривают обязательное наличие на борту всех судов </w:t>
      </w:r>
      <w:r w:rsidR="00875E47">
        <w:rPr>
          <w:rFonts w:ascii="Times New Roman" w:hAnsi="Times New Roman"/>
          <w:color w:val="000000"/>
          <w:sz w:val="28"/>
        </w:rPr>
        <w:t>валовой вместимостью 5000 брт и </w:t>
      </w:r>
      <w:r>
        <w:rPr>
          <w:rFonts w:ascii="Times New Roman" w:hAnsi="Times New Roman"/>
          <w:color w:val="000000"/>
          <w:sz w:val="28"/>
        </w:rPr>
        <w:t xml:space="preserve">более общей системы сбора данных по потреблению топлива, которая обеспечивает сбор данных в порядке и методами, указанными в судовом </w:t>
      </w:r>
      <w:r>
        <w:rPr>
          <w:rFonts w:ascii="Times New Roman" w:hAnsi="Times New Roman"/>
          <w:color w:val="000000"/>
          <w:sz w:val="28"/>
        </w:rPr>
        <w:lastRenderedPageBreak/>
        <w:t>плане управления энергоэффективностью (SEEMP), и ежегодное предоставление отчет</w:t>
      </w:r>
      <w:r w:rsidR="00875E47">
        <w:rPr>
          <w:rFonts w:ascii="Times New Roman" w:hAnsi="Times New Roman"/>
          <w:color w:val="000000"/>
          <w:sz w:val="28"/>
        </w:rPr>
        <w:t>н</w:t>
      </w:r>
      <w:r>
        <w:rPr>
          <w:rFonts w:ascii="Times New Roman" w:hAnsi="Times New Roman"/>
          <w:color w:val="000000"/>
          <w:sz w:val="28"/>
        </w:rPr>
        <w:t>ости;</w:t>
      </w:r>
    </w:p>
    <w:p w:rsidR="00095EB0" w:rsidRDefault="00A00E42"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отметил необходимость дальнейшей проработки следующих вопросов, отмеченных рабочей группой:</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rPr>
      </w:pPr>
      <w:r>
        <w:rPr>
          <w:rFonts w:ascii="Times New Roman" w:hAnsi="Times New Roman"/>
          <w:i/>
          <w:sz w:val="28"/>
          <w:shd w:val="clear" w:color="auto" w:fill="FFFFFF"/>
        </w:rPr>
        <w:t>1. подготовка проекта поправок к Руководству по разработке судового плана управления энергоэффективностью (SEEMP) в части внесения в него указаний по разработке порядка и методо</w:t>
      </w:r>
      <w:r w:rsidR="00A61936">
        <w:rPr>
          <w:rFonts w:ascii="Times New Roman" w:hAnsi="Times New Roman"/>
          <w:i/>
          <w:sz w:val="28"/>
          <w:shd w:val="clear" w:color="auto" w:fill="FFFFFF"/>
        </w:rPr>
        <w:t>в сбора данных в соответствии с </w:t>
      </w:r>
      <w:r>
        <w:rPr>
          <w:rFonts w:ascii="Times New Roman" w:hAnsi="Times New Roman"/>
          <w:i/>
          <w:sz w:val="28"/>
          <w:shd w:val="clear" w:color="auto" w:fill="FFFFFF"/>
        </w:rPr>
        <w:t>требованиями Правил 22A.1 и 22A.3,</w:t>
      </w:r>
      <w:r w:rsidR="00A61936">
        <w:rPr>
          <w:rFonts w:ascii="Times New Roman" w:hAnsi="Times New Roman"/>
          <w:i/>
          <w:sz w:val="28"/>
          <w:shd w:val="clear" w:color="auto" w:fill="FFFFFF"/>
        </w:rPr>
        <w:t xml:space="preserve"> каковые должны быть включены в </w:t>
      </w:r>
      <w:r>
        <w:rPr>
          <w:rFonts w:ascii="Times New Roman" w:hAnsi="Times New Roman"/>
          <w:i/>
          <w:sz w:val="28"/>
          <w:shd w:val="clear" w:color="auto" w:fill="FFFFFF"/>
        </w:rPr>
        <w:t>такой план, в том числе определе</w:t>
      </w:r>
      <w:r w:rsidR="00A61936">
        <w:rPr>
          <w:rFonts w:ascii="Times New Roman" w:hAnsi="Times New Roman"/>
          <w:i/>
          <w:sz w:val="28"/>
          <w:shd w:val="clear" w:color="auto" w:fill="FFFFFF"/>
        </w:rPr>
        <w:t>ния и процессы, необходимые для </w:t>
      </w:r>
      <w:r>
        <w:rPr>
          <w:rFonts w:ascii="Times New Roman" w:hAnsi="Times New Roman"/>
          <w:i/>
          <w:sz w:val="28"/>
          <w:shd w:val="clear" w:color="auto" w:fill="FFFFFF"/>
        </w:rPr>
        <w:t>представления отчетности на основании докум</w:t>
      </w:r>
      <w:r w:rsidR="00A61936">
        <w:rPr>
          <w:rFonts w:ascii="Times New Roman" w:hAnsi="Times New Roman"/>
          <w:i/>
          <w:sz w:val="28"/>
          <w:shd w:val="clear" w:color="auto" w:fill="FFFFFF"/>
        </w:rPr>
        <w:t>ента MEPC 69/6/1 и с </w:t>
      </w:r>
      <w:r>
        <w:rPr>
          <w:rFonts w:ascii="Times New Roman" w:hAnsi="Times New Roman"/>
          <w:i/>
          <w:sz w:val="28"/>
          <w:shd w:val="clear" w:color="auto" w:fill="FFFFFF"/>
        </w:rPr>
        <w:t>учетом положений документа 69/6/9;</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rPr>
      </w:pPr>
      <w:r>
        <w:rPr>
          <w:rFonts w:ascii="Times New Roman" w:hAnsi="Times New Roman"/>
          <w:i/>
          <w:sz w:val="28"/>
          <w:shd w:val="clear" w:color="auto" w:fill="FFFFFF"/>
        </w:rPr>
        <w:t>2. разработка Руководства по порядку проверки административных данных в соответствии с положениям</w:t>
      </w:r>
      <w:r w:rsidR="00A61936">
        <w:rPr>
          <w:rFonts w:ascii="Times New Roman" w:hAnsi="Times New Roman"/>
          <w:i/>
          <w:sz w:val="28"/>
          <w:shd w:val="clear" w:color="auto" w:fill="FFFFFF"/>
        </w:rPr>
        <w:t>и</w:t>
      </w:r>
      <w:r>
        <w:rPr>
          <w:rFonts w:ascii="Times New Roman" w:hAnsi="Times New Roman"/>
          <w:i/>
          <w:sz w:val="28"/>
          <w:shd w:val="clear" w:color="auto" w:fill="FFFFFF"/>
        </w:rPr>
        <w:t xml:space="preserve"> Правила 22A.7;</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rPr>
      </w:pPr>
      <w:r>
        <w:rPr>
          <w:rFonts w:ascii="Times New Roman" w:hAnsi="Times New Roman"/>
          <w:i/>
          <w:sz w:val="28"/>
          <w:shd w:val="clear" w:color="auto" w:fill="FFFFFF"/>
        </w:rPr>
        <w:t>3. разработка формата электронной связи и стандартизированного формата предоставления данных в соответствии с положениями Правила 22A.9;</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rPr>
      </w:pPr>
      <w:r>
        <w:rPr>
          <w:rFonts w:ascii="Times New Roman" w:hAnsi="Times New Roman"/>
          <w:i/>
          <w:sz w:val="28"/>
          <w:shd w:val="clear" w:color="auto" w:fill="FFFFFF"/>
        </w:rPr>
        <w:t>4. подготовка Руководства по разработке и управлению базой данных ИМО по потреблению топлива на судах, в том числе средств обеспечения анонимности судов и полноты</w:t>
      </w:r>
      <w:r w:rsidR="00A61936">
        <w:rPr>
          <w:rFonts w:ascii="Times New Roman" w:hAnsi="Times New Roman"/>
          <w:i/>
          <w:sz w:val="28"/>
          <w:shd w:val="clear" w:color="auto" w:fill="FFFFFF"/>
        </w:rPr>
        <w:t xml:space="preserve"> данных в базе в соответствии с </w:t>
      </w:r>
      <w:r>
        <w:rPr>
          <w:rFonts w:ascii="Times New Roman" w:hAnsi="Times New Roman"/>
          <w:i/>
          <w:sz w:val="28"/>
          <w:shd w:val="clear" w:color="auto" w:fill="FFFFFF"/>
        </w:rPr>
        <w:t>положениями Правил 22A.9, 22A.11 и 22A.12;</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rPr>
      </w:pPr>
      <w:r>
        <w:rPr>
          <w:rFonts w:ascii="Times New Roman" w:hAnsi="Times New Roman"/>
          <w:i/>
          <w:sz w:val="28"/>
          <w:shd w:val="clear" w:color="auto" w:fill="FFFFFF"/>
        </w:rPr>
        <w:t>5. разработка циркуляра КЗМС в отнош</w:t>
      </w:r>
      <w:r w:rsidR="00A61936">
        <w:rPr>
          <w:rFonts w:ascii="Times New Roman" w:hAnsi="Times New Roman"/>
          <w:i/>
          <w:sz w:val="28"/>
          <w:shd w:val="clear" w:color="auto" w:fill="FFFFFF"/>
        </w:rPr>
        <w:t>ении судов, которые плавают под </w:t>
      </w:r>
      <w:r>
        <w:rPr>
          <w:rFonts w:ascii="Times New Roman" w:hAnsi="Times New Roman"/>
          <w:i/>
          <w:sz w:val="28"/>
          <w:shd w:val="clear" w:color="auto" w:fill="FFFFFF"/>
        </w:rPr>
        <w:t>флагом стран, не являющихся сторонами Конвенции, и предоставляют сведения в базу данных ИМО по потреблению топлива.</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одобрил Парижское соглашение в рамках Р</w:t>
      </w:r>
      <w:r w:rsidR="00A61936">
        <w:rPr>
          <w:rFonts w:ascii="Times New Roman" w:hAnsi="Times New Roman"/>
          <w:sz w:val="28"/>
          <w:shd w:val="clear" w:color="auto" w:fill="FFFFFF"/>
        </w:rPr>
        <w:t>амочной конвенции ООН об </w:t>
      </w:r>
      <w:r>
        <w:rPr>
          <w:rFonts w:ascii="Times New Roman" w:hAnsi="Times New Roman"/>
          <w:sz w:val="28"/>
          <w:shd w:val="clear" w:color="auto" w:fill="FFFFFF"/>
        </w:rPr>
        <w:t xml:space="preserve">изменении климата и признал факт </w:t>
      </w:r>
      <w:r w:rsidR="00A61936">
        <w:rPr>
          <w:rFonts w:ascii="Times New Roman" w:hAnsi="Times New Roman"/>
          <w:sz w:val="28"/>
          <w:shd w:val="clear" w:color="auto" w:fill="FFFFFF"/>
        </w:rPr>
        <w:t>внесения значительного вклада в </w:t>
      </w:r>
      <w:r>
        <w:rPr>
          <w:rFonts w:ascii="Times New Roman" w:hAnsi="Times New Roman"/>
          <w:sz w:val="28"/>
          <w:shd w:val="clear" w:color="auto" w:fill="FFFFFF"/>
        </w:rPr>
        <w:t>заключение данного соглашения со стороны международного сообщества;</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xml:space="preserve">- признал и одобрил текущие и уже </w:t>
      </w:r>
      <w:r w:rsidR="00A61936">
        <w:rPr>
          <w:rFonts w:ascii="Times New Roman" w:hAnsi="Times New Roman"/>
          <w:sz w:val="28"/>
          <w:shd w:val="clear" w:color="auto" w:fill="FFFFFF"/>
        </w:rPr>
        <w:t>принятые со стороны ИМО меры по </w:t>
      </w:r>
      <w:r>
        <w:rPr>
          <w:rFonts w:ascii="Times New Roman" w:hAnsi="Times New Roman"/>
          <w:sz w:val="28"/>
          <w:shd w:val="clear" w:color="auto" w:fill="FFFFFF"/>
        </w:rPr>
        <w:t>увеличению энергоэффективности судов;</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в общем признал и согласовал вопрос о возможности и необходимости выполнения дальнейших усовершенствова</w:t>
      </w:r>
      <w:r w:rsidR="00A61936">
        <w:rPr>
          <w:rFonts w:ascii="Times New Roman" w:hAnsi="Times New Roman"/>
          <w:sz w:val="28"/>
          <w:shd w:val="clear" w:color="auto" w:fill="FFFFFF"/>
        </w:rPr>
        <w:t>ний в целях снижения выбросов с </w:t>
      </w:r>
      <w:r>
        <w:rPr>
          <w:rFonts w:ascii="Times New Roman" w:hAnsi="Times New Roman"/>
          <w:sz w:val="28"/>
          <w:shd w:val="clear" w:color="auto" w:fill="FFFFFF"/>
        </w:rPr>
        <w:t>судов;</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признал роль ИМО в снижении выбросов парниковых газов с судов, занятых в международных перевозках;</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пришел к общему мнению о приоритетнос</w:t>
      </w:r>
      <w:r w:rsidR="00A61936">
        <w:rPr>
          <w:rFonts w:ascii="Times New Roman" w:hAnsi="Times New Roman"/>
          <w:sz w:val="28"/>
          <w:shd w:val="clear" w:color="auto" w:fill="FFFFFF"/>
        </w:rPr>
        <w:t>ти одобрения на данной сессии и </w:t>
      </w:r>
      <w:r>
        <w:rPr>
          <w:rFonts w:ascii="Times New Roman" w:hAnsi="Times New Roman"/>
          <w:sz w:val="28"/>
          <w:shd w:val="clear" w:color="auto" w:fill="FFFFFF"/>
        </w:rPr>
        <w:t>последующего принятия норм в части системы сбора данных;</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lastRenderedPageBreak/>
        <w:t>- повторно подтвердил свою приверженность к применению трехэтапного подхода, включающего сбор данных, их анализ и принятие решений;</w:t>
      </w:r>
    </w:p>
    <w:p w:rsidR="00A61936" w:rsidRDefault="00095EB0" w:rsidP="00726084">
      <w:pPr>
        <w:shd w:val="clear" w:color="auto" w:fill="FFFFFF"/>
        <w:spacing w:before="100" w:beforeAutospacing="1" w:after="270" w:line="240" w:lineRule="auto"/>
        <w:jc w:val="both"/>
        <w:rPr>
          <w:rFonts w:ascii="Times New Roman" w:hAnsi="Times New Roman" w:cs="Times New Roman"/>
          <w:sz w:val="28"/>
          <w:szCs w:val="28"/>
        </w:rPr>
      </w:pPr>
      <w:r>
        <w:rPr>
          <w:rFonts w:ascii="Times New Roman" w:hAnsi="Times New Roman"/>
          <w:sz w:val="28"/>
          <w:shd w:val="clear" w:color="auto" w:fill="FFFFFF"/>
        </w:rPr>
        <w:t>- согласился учредить рабочую группу по решению данного вопроса на 70-й сессии КЗМС с целью подробного обсуждение методов и порядка его решения с учетом всех документов, пре</w:t>
      </w:r>
      <w:r w:rsidR="00A61936">
        <w:rPr>
          <w:rFonts w:ascii="Times New Roman" w:hAnsi="Times New Roman"/>
          <w:sz w:val="28"/>
          <w:shd w:val="clear" w:color="auto" w:fill="FFFFFF"/>
        </w:rPr>
        <w:t>доставленных на рассмотрение на </w:t>
      </w:r>
      <w:r>
        <w:rPr>
          <w:rFonts w:ascii="Times New Roman" w:hAnsi="Times New Roman"/>
          <w:sz w:val="28"/>
          <w:shd w:val="clear" w:color="auto" w:fill="FFFFFF"/>
        </w:rPr>
        <w:t>данной сессии и выданных рекомендацией, а также любых дополнительных предложений. </w:t>
      </w:r>
    </w:p>
    <w:p w:rsidR="00A61936" w:rsidRDefault="00095EB0" w:rsidP="00726084">
      <w:pPr>
        <w:shd w:val="clear" w:color="auto" w:fill="FFFFFF"/>
        <w:spacing w:before="100" w:beforeAutospacing="1" w:after="270" w:line="240" w:lineRule="auto"/>
        <w:jc w:val="both"/>
        <w:rPr>
          <w:rFonts w:ascii="Times New Roman" w:hAnsi="Times New Roman" w:cs="Times New Roman"/>
          <w:sz w:val="28"/>
          <w:szCs w:val="28"/>
        </w:rPr>
      </w:pPr>
      <w:r>
        <w:rPr>
          <w:rFonts w:ascii="Times New Roman" w:hAnsi="Times New Roman"/>
          <w:sz w:val="28"/>
        </w:rPr>
        <w:t>70-ю сессию КЗМС планируется провести в период с 24 по 28 октября 2016 года, а 71-я сессия КЗМС предварительно н</w:t>
      </w:r>
      <w:r w:rsidR="00A61936">
        <w:rPr>
          <w:rFonts w:ascii="Times New Roman" w:hAnsi="Times New Roman"/>
          <w:sz w:val="28"/>
        </w:rPr>
        <w:t>амечена к проведению в период с </w:t>
      </w:r>
      <w:r>
        <w:rPr>
          <w:rFonts w:ascii="Times New Roman" w:hAnsi="Times New Roman"/>
          <w:sz w:val="28"/>
        </w:rPr>
        <w:t>8 по 12 мая 2017 года.</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rPr>
        <w:t>Предполагаемые рабочие группы, подлежащие учреждению к 70-сессии КЗМС:</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по вопросам загрязнения воздуха и обеспечению энергоэффективности;</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по вопросам принятия дополнительных мер технического и рабочего характера в целях повышения энерг</w:t>
      </w:r>
      <w:r w:rsidR="00A61936">
        <w:rPr>
          <w:rFonts w:ascii="Times New Roman" w:hAnsi="Times New Roman"/>
          <w:sz w:val="28"/>
          <w:shd w:val="clear" w:color="auto" w:fill="FFFFFF"/>
        </w:rPr>
        <w:t>оэффективности судов, занятых в </w:t>
      </w:r>
      <w:r>
        <w:rPr>
          <w:rFonts w:ascii="Times New Roman" w:hAnsi="Times New Roman"/>
          <w:sz w:val="28"/>
          <w:shd w:val="clear" w:color="auto" w:fill="FFFFFF"/>
        </w:rPr>
        <w:t>международных перевозках;</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по вопросам снижения уровня выбросов парниковых газов с судов;</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по вопросам содержания вредных водных организмов в балластной воде;</w:t>
      </w:r>
    </w:p>
    <w:p w:rsidR="00A61936" w:rsidRDefault="00095EB0" w:rsidP="00726084">
      <w:pPr>
        <w:shd w:val="clear" w:color="auto" w:fill="FFFFFF"/>
        <w:spacing w:before="100" w:beforeAutospacing="1" w:after="270" w:line="240" w:lineRule="auto"/>
        <w:jc w:val="both"/>
        <w:rPr>
          <w:rFonts w:ascii="Times New Roman" w:hAnsi="Times New Roman" w:cs="Times New Roman"/>
          <w:sz w:val="28"/>
          <w:szCs w:val="28"/>
        </w:rPr>
      </w:pPr>
      <w:r>
        <w:rPr>
          <w:rFonts w:ascii="Times New Roman" w:hAnsi="Times New Roman"/>
          <w:sz w:val="28"/>
          <w:shd w:val="clear" w:color="auto" w:fill="FFFFFF"/>
        </w:rPr>
        <w:t>- по вопросам рассмотрения и принятия поправок к обязательным документам (редакционная группа).</w:t>
      </w:r>
    </w:p>
    <w:p w:rsidR="00095EB0" w:rsidRDefault="00095EB0" w:rsidP="00726084">
      <w:pPr>
        <w:shd w:val="clear" w:color="auto" w:fill="FFFFFF"/>
        <w:spacing w:before="100" w:beforeAutospacing="1" w:after="270" w:line="240" w:lineRule="auto"/>
        <w:jc w:val="both"/>
        <w:rPr>
          <w:rFonts w:ascii="Times New Roman" w:hAnsi="Times New Roman" w:cs="Times New Roman"/>
          <w:b/>
          <w:bCs/>
          <w:sz w:val="28"/>
          <w:szCs w:val="28"/>
          <w:shd w:val="clear" w:color="auto" w:fill="FFFFFF"/>
        </w:rPr>
      </w:pPr>
      <w:r>
        <w:rPr>
          <w:rFonts w:ascii="Times New Roman" w:hAnsi="Times New Roman"/>
          <w:b/>
          <w:sz w:val="28"/>
          <w:shd w:val="clear" w:color="auto" w:fill="FFFFFF"/>
        </w:rPr>
        <w:t>Редакционные группы:</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rPr>
        <w:t>- редакционная группа по вопросам пере</w:t>
      </w:r>
      <w:r w:rsidR="00A61936">
        <w:rPr>
          <w:rFonts w:ascii="Times New Roman" w:hAnsi="Times New Roman"/>
          <w:sz w:val="28"/>
        </w:rPr>
        <w:t>смотра положений Руководства по </w:t>
      </w:r>
      <w:r>
        <w:rPr>
          <w:rFonts w:ascii="Times New Roman" w:hAnsi="Times New Roman"/>
          <w:sz w:val="28"/>
        </w:rPr>
        <w:t>одобрению систем управления балластными водами (G8);</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редакционная группа по вопросам качества топлива;</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rPr>
        <w:t>- редакционная группа по и</w:t>
      </w:r>
      <w:r w:rsidR="00A61936">
        <w:rPr>
          <w:rFonts w:ascii="Times New Roman" w:hAnsi="Times New Roman"/>
          <w:sz w:val="28"/>
        </w:rPr>
        <w:t>зучению вопросов, относящихся к </w:t>
      </w:r>
      <w:r>
        <w:rPr>
          <w:rFonts w:ascii="Times New Roman" w:hAnsi="Times New Roman"/>
          <w:sz w:val="28"/>
        </w:rPr>
        <w:t xml:space="preserve">конструктивному коэффициенту энергоэффективности (EEDI); </w:t>
      </w:r>
    </w:p>
    <w:p w:rsidR="00A61936" w:rsidRDefault="00095EB0" w:rsidP="00726084">
      <w:pPr>
        <w:shd w:val="clear" w:color="auto" w:fill="FFFFFF"/>
        <w:spacing w:before="100" w:beforeAutospacing="1" w:after="270" w:line="240" w:lineRule="auto"/>
        <w:jc w:val="both"/>
        <w:rPr>
          <w:rFonts w:ascii="Times New Roman" w:hAnsi="Times New Roman" w:cs="Times New Roman"/>
          <w:sz w:val="28"/>
          <w:szCs w:val="28"/>
        </w:rPr>
      </w:pPr>
      <w:r>
        <w:rPr>
          <w:rFonts w:ascii="Times New Roman" w:hAnsi="Times New Roman"/>
          <w:sz w:val="28"/>
          <w:shd w:val="clear" w:color="auto" w:fill="FFFFFF"/>
        </w:rPr>
        <w:t>- редакционная группа по вопросам изучения системы сбора данных по потреблению топлива. </w:t>
      </w:r>
    </w:p>
    <w:p w:rsidR="00095EB0" w:rsidRDefault="00095EB0" w:rsidP="00726084">
      <w:pPr>
        <w:shd w:val="clear" w:color="auto" w:fill="FFFFFF"/>
        <w:spacing w:before="100" w:beforeAutospacing="1" w:after="270" w:line="240" w:lineRule="auto"/>
        <w:jc w:val="both"/>
        <w:rPr>
          <w:rFonts w:ascii="Times New Roman" w:hAnsi="Times New Roman" w:cs="Times New Roman"/>
          <w:b/>
          <w:bCs/>
          <w:sz w:val="28"/>
          <w:szCs w:val="28"/>
          <w:shd w:val="clear" w:color="auto" w:fill="FFFFFF"/>
        </w:rPr>
      </w:pPr>
      <w:r>
        <w:rPr>
          <w:rFonts w:ascii="Times New Roman" w:hAnsi="Times New Roman"/>
          <w:b/>
          <w:sz w:val="28"/>
          <w:shd w:val="clear" w:color="auto" w:fill="FFFFFF"/>
        </w:rPr>
        <w:t>Новые вопросы повестки дня:</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xml:space="preserve">- пересмотр Руководства по системам очистки выхлопных газов от 2015 года (Резолюция MEPC.259(68)) (MEPC 69/19) (принятие документа MEPC 69/19/2 и выдача рекомендаций к документу MEPC 69/19/5) </w:t>
      </w:r>
      <w:r w:rsidR="00A61936">
        <w:rPr>
          <w:rFonts w:ascii="Times New Roman" w:hAnsi="Times New Roman"/>
          <w:sz w:val="28"/>
          <w:shd w:val="clear" w:color="auto" w:fill="FFFFFF"/>
        </w:rPr>
        <w:t>–</w:t>
      </w:r>
      <w:r>
        <w:rPr>
          <w:rFonts w:ascii="Times New Roman" w:hAnsi="Times New Roman"/>
          <w:sz w:val="28"/>
          <w:shd w:val="clear" w:color="auto" w:fill="FFFFFF"/>
        </w:rPr>
        <w:t xml:space="preserve"> </w:t>
      </w:r>
      <w:r>
        <w:rPr>
          <w:rFonts w:ascii="Times New Roman" w:hAnsi="Times New Roman"/>
          <w:sz w:val="28"/>
          <w:shd w:val="clear" w:color="auto" w:fill="FFFFFF"/>
        </w:rPr>
        <w:lastRenderedPageBreak/>
        <w:t>на</w:t>
      </w:r>
      <w:r w:rsidR="00A61936">
        <w:rPr>
          <w:rFonts w:ascii="Times New Roman" w:hAnsi="Times New Roman"/>
          <w:sz w:val="28"/>
          <w:shd w:val="clear" w:color="auto" w:fill="FFFFFF"/>
        </w:rPr>
        <w:t> </w:t>
      </w:r>
      <w:r>
        <w:rPr>
          <w:rFonts w:ascii="Times New Roman" w:hAnsi="Times New Roman"/>
          <w:sz w:val="28"/>
          <w:shd w:val="clear" w:color="auto" w:fill="FFFFFF"/>
        </w:rPr>
        <w:t xml:space="preserve">предстоящей сессии Подкомитета </w:t>
      </w:r>
      <w:r w:rsidR="00A61936">
        <w:rPr>
          <w:rFonts w:ascii="Times New Roman" w:hAnsi="Times New Roman"/>
          <w:sz w:val="28"/>
          <w:shd w:val="clear" w:color="auto" w:fill="FFFFFF"/>
        </w:rPr>
        <w:t>по предотвращению загрязнения и </w:t>
      </w:r>
      <w:r>
        <w:rPr>
          <w:rFonts w:ascii="Times New Roman" w:hAnsi="Times New Roman"/>
          <w:sz w:val="28"/>
          <w:shd w:val="clear" w:color="auto" w:fill="FFFFFF"/>
        </w:rPr>
        <w:t>реагированию;</w:t>
      </w:r>
    </w:p>
    <w:p w:rsidR="00FF3E80" w:rsidRP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rPr>
      </w:pPr>
      <w:r>
        <w:rPr>
          <w:rFonts w:ascii="Times New Roman" w:hAnsi="Times New Roman"/>
          <w:sz w:val="28"/>
          <w:shd w:val="clear" w:color="auto" w:fill="FFFFFF"/>
        </w:rPr>
        <w:t>- применение нескольких профилей (режимов) эксплуатации двигателей (принятие документа MEPC 69/19/</w:t>
      </w:r>
      <w:r w:rsidR="00875E47">
        <w:rPr>
          <w:rFonts w:ascii="Times New Roman" w:hAnsi="Times New Roman"/>
          <w:sz w:val="28"/>
          <w:shd w:val="clear" w:color="auto" w:fill="FFFFFF"/>
        </w:rPr>
        <w:t>1</w:t>
      </w:r>
      <w:r>
        <w:rPr>
          <w:rFonts w:ascii="Times New Roman" w:hAnsi="Times New Roman"/>
          <w:sz w:val="28"/>
          <w:shd w:val="clear" w:color="auto" w:fill="FFFFFF"/>
        </w:rPr>
        <w:t xml:space="preserve"> и выдача рекомендаций к документам MEPC 69/19/3 и  MEPC 69/19/4)  </w:t>
      </w:r>
      <w:r w:rsidR="00875E47">
        <w:rPr>
          <w:rFonts w:ascii="Times New Roman" w:hAnsi="Times New Roman"/>
          <w:sz w:val="28"/>
          <w:shd w:val="clear" w:color="auto" w:fill="FFFFFF"/>
        </w:rPr>
        <w:t>–</w:t>
      </w:r>
      <w:r>
        <w:rPr>
          <w:rFonts w:ascii="Times New Roman" w:hAnsi="Times New Roman"/>
          <w:sz w:val="28"/>
          <w:shd w:val="clear" w:color="auto" w:fill="FFFFFF"/>
        </w:rPr>
        <w:t xml:space="preserve"> на пр</w:t>
      </w:r>
      <w:r w:rsidR="00875E47">
        <w:rPr>
          <w:rFonts w:ascii="Times New Roman" w:hAnsi="Times New Roman"/>
          <w:sz w:val="28"/>
          <w:shd w:val="clear" w:color="auto" w:fill="FFFFFF"/>
        </w:rPr>
        <w:t>едстоящей сессии Подкомитета по </w:t>
      </w:r>
      <w:r>
        <w:rPr>
          <w:rFonts w:ascii="Times New Roman" w:hAnsi="Times New Roman"/>
          <w:sz w:val="28"/>
          <w:shd w:val="clear" w:color="auto" w:fill="FFFFFF"/>
        </w:rPr>
        <w:t>предотвращению загрязнения и реагированию.</w:t>
      </w:r>
    </w:p>
    <w:sectPr w:rsidR="00FF3E80" w:rsidRPr="00095EB0" w:rsidSect="00141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00E42"/>
    <w:rsid w:val="00095EB0"/>
    <w:rsid w:val="00141B36"/>
    <w:rsid w:val="001C3E0A"/>
    <w:rsid w:val="00702424"/>
    <w:rsid w:val="00726084"/>
    <w:rsid w:val="00875E47"/>
    <w:rsid w:val="00A00E42"/>
    <w:rsid w:val="00A61936"/>
    <w:rsid w:val="00FF3E8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0E42"/>
  </w:style>
</w:styles>
</file>

<file path=word/webSettings.xml><?xml version="1.0" encoding="utf-8"?>
<w:webSettings xmlns:r="http://schemas.openxmlformats.org/officeDocument/2006/relationships" xmlns:w="http://schemas.openxmlformats.org/wordprocessingml/2006/main">
  <w:divs>
    <w:div w:id="8899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o.vasileva</cp:lastModifiedBy>
  <cp:revision>6</cp:revision>
  <dcterms:created xsi:type="dcterms:W3CDTF">2016-05-24T05:21:00Z</dcterms:created>
  <dcterms:modified xsi:type="dcterms:W3CDTF">2016-05-27T11:46:00Z</dcterms:modified>
</cp:coreProperties>
</file>