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2" w:rsidRPr="00AB7540" w:rsidRDefault="00493D72" w:rsidP="00493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F6BBF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MEPC74</w:t>
      </w: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CB7D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–</w:t>
      </w: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CB7D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 </w:t>
      </w: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13 </w:t>
      </w:r>
      <w:r w:rsidR="00CB7D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по</w:t>
      </w: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17 мая 2019 г.</w:t>
      </w:r>
    </w:p>
    <w:p w:rsidR="00493D72" w:rsidRPr="00AB7540" w:rsidRDefault="00493D72" w:rsidP="00493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7</w:t>
      </w:r>
      <w:r w:rsidR="00C42C19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4</w:t>
      </w:r>
      <w:r w:rsidRPr="00AB754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-я сессия КОМИТЕТА ПО ЗАЩИТЕ МОРСКОЙ СРЕДЫ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Рассмотрение и принятие поправок к обязательным </w:t>
      </w:r>
      <w:r w:rsidR="00951A1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инструментам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Комитет рассмотрел окончательный текст проекта поправок к </w:t>
      </w:r>
      <w:r w:rsid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I, II и V к Конвенции МАРПОЛ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касательно </w:t>
      </w:r>
      <w:r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электронных журналов 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принял поправки резолюцией MEPC.312(74).</w:t>
      </w:r>
    </w:p>
    <w:p w:rsidR="00493D72" w:rsidRPr="00C26CDB" w:rsidRDefault="00303186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I, II и V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 К</w:t>
      </w:r>
      <w:r w:rsidR="00493D72"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считаются принятыми с 1 апреля 2020 г. и вступают в силу с 1 октября 2020 г.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Резолюция Комитета по </w:t>
      </w:r>
      <w:r w:rsidR="003031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защите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морской среды</w:t>
      </w:r>
      <w:r w:rsidR="003031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(КЗМС</w:t>
      </w:r>
      <w:r w:rsidR="00C42C1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/МЕРС</w:t>
      </w:r>
      <w:r w:rsidR="003031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Руководству по использованию электронных журналов </w:t>
      </w:r>
      <w:r w:rsidR="000B778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регистрации</w:t>
      </w:r>
      <w:r w:rsidR="003031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соответствии с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МАРПОЛ</w:t>
      </w:r>
    </w:p>
    <w:p w:rsidR="00493D72" w:rsidRPr="00C26CDB" w:rsidRDefault="002B1AC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C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</w:t>
      </w:r>
      <w:r w:rsidR="00493D72" w:rsidRPr="002B1ACF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резолюцию MEPC.318(74)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использованию электронных </w:t>
      </w:r>
      <w:r w:rsidR="00493D72"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журналов </w:t>
      </w:r>
      <w:r w:rsidR="00303186"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записей в соответствии с </w:t>
      </w:r>
      <w:r w:rsidR="00493D72"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АРПОЛ. 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предоставила свои комментарии к проекту Руководства, в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частности, по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использованию </w:t>
      </w:r>
      <w:r w:rsidR="00986ACB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на существующих</w:t>
      </w:r>
      <w:r w:rsidR="00986ACB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судах</w:t>
      </w:r>
      <w:r w:rsidR="00986ACB"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электронных </w:t>
      </w:r>
      <w:r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="00986ACB"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03186"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86ACB"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озоноразрушающих веществ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обсуждения необходимости их повторного утверждения 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свете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поправок к Руководству и </w:t>
      </w:r>
      <w:r w:rsid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303186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, 74 сессия КЗМС/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MEPC74 принял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решение, что электронные </w:t>
      </w:r>
      <w:r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="00986ACB"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озоноразрушающих веществ/</w:t>
      </w:r>
      <w:r w:rsidR="00986A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ODS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установленные до вступления в силу </w:t>
      </w:r>
      <w:r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поправок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касающихся электронных журналов 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записей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 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одобренные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Администрацией без </w:t>
      </w:r>
      <w:r w:rsidR="00986ACB">
        <w:rPr>
          <w:rFonts w:ascii="Times New Roman" w:eastAsia="Times New Roman" w:hAnsi="Times New Roman" w:cs="Times New Roman"/>
          <w:sz w:val="24"/>
          <w:szCs w:val="24"/>
          <w:lang w:bidi="ru-RU"/>
        </w:rPr>
        <w:t>учета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по использованию электронных журналов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записей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должны быть повторно одобрены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Администрацией после вступления в силу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выше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указанных поправок с учетом Руководства.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</w:t>
      </w:r>
      <w:r w:rsidR="00C42C1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II к </w:t>
      </w:r>
      <w:r w:rsidR="00C42C1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онвенции МАРПОЛ в отношении остатков груза и </w:t>
      </w:r>
      <w:r w:rsidR="00C42C1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устойчивых плавучих продуктов промывки танков</w:t>
      </w:r>
    </w:p>
    <w:p w:rsidR="00493D72" w:rsidRPr="00C26CDB" w:rsidRDefault="00DF6BB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MEPC рассмотрел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окончательны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й текст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проекта поправок к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 к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в отношении остатков груза и </w:t>
      </w:r>
      <w:r w:rsidR="00C42C1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устойчивых плавучих продуктов промывки танков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поправки 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езолюцией MEPC.313(74).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Отметив, что на этой сессии также должны быть приняты поправки к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напрямую связан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поправками к Международному кодексу постройки и оборудования судов, перевозящих опасные химические грузы наливом (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IBC),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привести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дату вступления в силу этих поправок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соответствие с датой вступления в силу поправок к 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одекс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IBC.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согласил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датой вступления в силу поправок к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будет 1 января 2021 г.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Приложению VI к конвенции МАРПОЛ в отношении электронных журналов </w:t>
      </w:r>
      <w:r w:rsidR="00DF6BB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записей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</w:t>
      </w:r>
      <w:r w:rsidR="00DF6BB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правила энергоэффективности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для судов с ледовыми </w:t>
      </w:r>
      <w:r w:rsidR="00DF6BB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подкреплениями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Комитет рассмотрел окончательный текст проекта поправок к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риложению VI к Конвенции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 касательно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электронных журналов 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 энергоэффективности/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EEDI для судов с ледовыми подкреплениями и п</w:t>
      </w:r>
      <w:r w:rsid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ринял поправки Р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езолюцией MEPC.314(74).</w:t>
      </w:r>
    </w:p>
    <w:p w:rsidR="00493D72" w:rsidRPr="00C26CDB" w:rsidRDefault="00DF6BB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риложению VI к конвенции МАРПОЛ считаются принятыми с 1 апреля 2020 г. и вступают в силу с 1 октября 2020 г.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техническому кодексу NOX 2008</w:t>
      </w:r>
      <w:r w:rsidR="00DF6BB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</w:t>
      </w:r>
    </w:p>
    <w:p w:rsidR="00493D72" w:rsidRPr="00C26CDB" w:rsidRDefault="00DF6BB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КЗМС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окончательный текст проекта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ехническому кодексу NOX 2008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электронных журналов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требовани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сертификации электрораспределительных систем и принял поправки резолюцией MEPC.315(74).</w:t>
      </w:r>
    </w:p>
    <w:p w:rsidR="00493D72" w:rsidRPr="00C26CDB" w:rsidRDefault="00DF6BB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ехническому кодексу NOX считаются </w:t>
      </w:r>
      <w:r w:rsidR="00493D72" w:rsidRPr="00DF6BBF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принятыми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1 апреля и вступают в силу с 1 октября 2020 г.</w:t>
      </w:r>
    </w:p>
    <w:p w:rsidR="00493D72" w:rsidRDefault="00DF6BBF" w:rsidP="00493D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КЗМС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/МЕРС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потребоваться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пересмотр пунктов технического кодекса NOX 2008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 ссылкой на журналы учета после последующих поправок на основании включения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 нового определения электронного журнала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</w:t>
      </w:r>
      <w:r w:rsidR="00DF6BB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одексу IBC</w:t>
      </w:r>
    </w:p>
    <w:p w:rsidR="00493D72" w:rsidRPr="00C26CDB" w:rsidRDefault="00DF6BBF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73 сессия КЗМС и 100 сессия КБМ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одновременно утвердили проект поправок к главам 15, 16, 17, 18, 19 и 21 </w:t>
      </w:r>
      <w:r w:rsid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IBC с целью принятия на текущей сессии. MEPC74 рассмотрел окончательный текст проекта поправок к кодексу IBC и принял поправки резолюцией MEPC.316(74).</w:t>
      </w:r>
    </w:p>
    <w:p w:rsidR="00493D72" w:rsidRPr="00C26CDB" w:rsidRDefault="000B778C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 поправки к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одексу IBC считаются принятыми с 1 июля 2020 г. и вступают в силу с 1 января 2021 г.</w:t>
      </w:r>
    </w:p>
    <w:p w:rsidR="00493D72" w:rsidRPr="00C26CDB" w:rsidRDefault="000B778C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МЕРС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</w:t>
      </w:r>
      <w:r w:rsidR="00493D72" w:rsidRPr="000B778C">
        <w:rPr>
          <w:rFonts w:ascii="Times New Roman" w:eastAsia="Times New Roman" w:hAnsi="Times New Roman" w:cs="Times New Roman"/>
          <w:sz w:val="24"/>
          <w:szCs w:val="24"/>
          <w:lang w:bidi="ru-RU"/>
        </w:rPr>
        <w:t>диапазоны класса нагревостойкости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указанные в п. 21.4.9.1.1 главы 21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IBC, не соответствуют последним стандартам МЭК, и эта информация должна быть пересмотрена и обновлена в ходе следующего внесения изменений в главу 21.</w:t>
      </w:r>
    </w:p>
    <w:p w:rsidR="00493D72" w:rsidRPr="00C26CDB" w:rsidRDefault="000B778C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предложением включить ссылку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как часть поправок к Кодексу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IBC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целях приведения в соответствие с МАРПОЛ и СОЛАС,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отметив, в частности, необходимость уточнения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того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обязательными являются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асти 1 и 2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Отмечая обеспокоенность наблюдателя МАКО относительно включения в проект поправок нового пункта 15.12, касающегося обнаружения сероводорода, и возможной субъективной оценки того, что этот пункт может стать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дополнением к требованию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приведенному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п. 13.2.1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одекса,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согласил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добавить его в конце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п. 15.12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IBC: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условии соответствия требованию 13.2.1 Кодекса, </w:t>
      </w:r>
      <w:r w:rsidR="005875DA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приборы для измерения уровня токсичных испарений,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разработанные и откалиброванные также </w:t>
      </w:r>
      <w:r w:rsidR="005875DA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контроля уровня сероводорода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могут применяться 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целях со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ответствия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настояще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му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было отмечено, что этот текст мож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ет использоваться при рассмотрении аналогичного вопроса в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п. 4.24 </w:t>
      </w:r>
      <w:r w:rsid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BCH.</w:t>
      </w:r>
    </w:p>
    <w:p w:rsidR="00493D72" w:rsidRPr="00C26CDB" w:rsidRDefault="005875DA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также </w:t>
      </w: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от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метил</w:t>
      </w: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может потребоваться пересмотр циркуляра MSC-MEPC.5/Circ.7, </w:t>
      </w: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в котором приводится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срока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замены существующих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свидетельств на свидетельства,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измененные вследствие вступления в силу поправок к главам 17 и 18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IBC для обеспечения своевременно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 внедрения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поправок, и согласился направить этот вопрос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25 сессию </w:t>
      </w:r>
      <w:r w:rsidR="00493D72"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ESPH для дальнейшего рассмотрения.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</w:t>
      </w:r>
      <w:r w:rsidR="005875D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Кодексу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BCH</w:t>
      </w:r>
    </w:p>
    <w:p w:rsidR="00493D72" w:rsidRPr="00C26CDB" w:rsidRDefault="005D0386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окончательный текст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ВСН (MEPC74/WP.7, приложение 6) и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езолюцией MEPC.317(74).</w:t>
      </w:r>
    </w:p>
    <w:p w:rsidR="00493D72" w:rsidRPr="00C26CDB" w:rsidRDefault="005D0386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оправки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одексу ВСН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считаются принятыми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1 июля 2020 г. и вступают в силу с 1 января 2021 г.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Согласно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изменениям, внесенным в К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 IBC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текст п. 4.24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по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оборудованию для обнаружения сероводорода был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изменен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разъяснения требования в отношении требования в п. 3.11.1,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в значительной мере для предотвращения каких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-либо предположений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том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что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Кодексом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потребуется дополнительное оборудование для обнаружения сероводорода.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Резолюция </w:t>
      </w:r>
      <w:r w:rsidR="005D0386" w:rsidRP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омитета по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защите морской среды 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 вопросу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поправ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 к Руководству 2017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отношении дополнительных аспектов 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Т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ехнического кодекса NOX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2008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 применительно к конкретным требованиям к судовым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дизельным двигателям, 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оснащенным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системами 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селективного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каталитического восстановления (</w:t>
      </w:r>
      <w:r w:rsidR="005D0386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SCR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 (резолюция MEPC.291(71))</w:t>
      </w:r>
    </w:p>
    <w:p w:rsidR="00493D72" w:rsidRPr="00C26CDB" w:rsidRDefault="005D0386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D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74 сессия </w:t>
      </w:r>
      <w:r w:rsidRP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MEPC</w:t>
      </w:r>
      <w:r w:rsidRP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Резолюцию MEPC.319(74) по поправкам к Руководству 2017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дополнительных аспектов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ехнического кодекса NOX 2008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касательно определенных требований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судовым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дизельным двигателям,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оснащенным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системами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селективного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каталитического восстановления (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SCR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493D72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5D0386" w:rsidP="00493D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Нежелательные</w:t>
      </w:r>
      <w:r w:rsidR="00493D72"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водные организмы в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водяном балласте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планом сбора и анализа данных для этапа накопления практических знаний, связанных с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онвенцией по управлению балластными водами, утвержденной MEPC72 (BWM.2/Circ.67), Секретариат предоставил MEPC74 сводные данные, полученные на сегодняшний день. 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Секретариат разработал новую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таблицу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размещения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данных </w:t>
      </w:r>
      <w:r w:rsidRP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этапа накопления практических знаний 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модуле контроля балластных вод в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рамках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Глобальной интегрированной системе информации о судоходстве (Г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ИСИС), структурированную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интерфейсами утвержденного плана сбора и анализа данных (BWM.2/Circ.67), которая была запущена в декабре 2018 г., что позволило странам-участникам начать предоставл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ение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данные (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Ц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иркуляр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ное письмо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№ 3913).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MEPC74 утвердил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BWM.2/Circ.67/</w:t>
      </w:r>
      <w:r w:rsidRPr="00C202AF">
        <w:rPr>
          <w:rFonts w:ascii="Times New Roman" w:eastAsia="Times New Roman" w:hAnsi="Times New Roman" w:cs="Times New Roman"/>
          <w:sz w:val="24"/>
          <w:szCs w:val="24"/>
          <w:lang w:bidi="ru-RU"/>
        </w:rPr>
        <w:t>Rev.1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пересмотренного плана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сбора и анализа данных для этапа накопления практических з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наний, связанного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онвенцией </w:t>
      </w:r>
      <w:r w:rsid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по управлению балластными водами/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BWM.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Предложенные поправки и унифицированные интерпретации формы Международного свидетельства по управлению балластными водами</w:t>
      </w:r>
    </w:p>
    <w:p w:rsidR="00493D72" w:rsidRPr="00C26CDB" w:rsidRDefault="005D0386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рассмотрение проект поправок к форме Международного свидетельства по управлению балластными водами (IBWMC) в отношении пунктов разделов «Описание используем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ого(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а(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управления балластными водами» и «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Размерения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судна», как указано в приложении I к </w:t>
      </w:r>
      <w:r w:rsidR="00493D72" w:rsidRP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="00493D72" w:rsidRPr="005D0386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балластными водами.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</w:t>
      </w:r>
      <w:r w:rsidRPr="0069125E">
        <w:rPr>
          <w:rFonts w:ascii="Times New Roman" w:eastAsia="Times New Roman" w:hAnsi="Times New Roman" w:cs="Times New Roman"/>
          <w:sz w:val="24"/>
          <w:szCs w:val="24"/>
          <w:lang w:bidi="ru-RU"/>
        </w:rPr>
        <w:t>момента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вступления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силу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 по управлению балластными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водами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70706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были проведены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освидетельствования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судов,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подпадающих под действие 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 </w:t>
      </w:r>
      <w:r w:rsidRP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выдано Международное свидетельство по управлению балластными водами (IBWM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C) в соответствии с положениями E-1 и E-2 Конвенции. Однако, на практике было обнаружено, что форма IBWMC в отношении пунктов раздела «Описание используемых методов управления балластными водами» не охватывает определенные методы,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могут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отвеча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требованиям конвенции по управлению балластными водами.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Китай и МАКО предоставили мотивировку предложенной необходимости внесения таких поправок в целях включения других средств соответствия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</w:t>
      </w:r>
      <w:r w:rsidR="0070706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как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предусмотрено положением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B-3. 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 этом отношении некоторые делегации выразили мнение, что целью раздела рассматриваемого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видетельства было просто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указать, на каком этапе судно находилось в условиях перехода от </w:t>
      </w:r>
      <w:r w:rsidRP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соответствия положению D-1 к соответствию положению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D-2, тогда как подробные средства соответствия, как уже обсуждалось, будут изложены в BWMP.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Внесено ком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промиссное предложение по упрощенному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внесению изменений в 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видетельство путем добавления одной новой опции (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ячейки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в существующую форму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видетельства, 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аспространяющую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ся на средства обеспечения соответствия указанным опциям без подробного описания этих опций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70706B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форме Международного свидетельства по управлению балластными водами с целью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его принятия на 75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Унифицированные интерпретации формы Международного свидетельства по управлению балластными водами</w:t>
      </w:r>
    </w:p>
    <w:p w:rsidR="00493D72" w:rsidRPr="00C26CDB" w:rsidRDefault="0070706B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72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унифицированную интерпретацию формы Международного свидетельства по управлению балластными водами, распространенного посредством BWM.2/Circ.66, и дал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указания Секретариату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актуализировать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унифицированную интерпретацию с соответствующими ссылками на </w:t>
      </w:r>
      <w:r w:rsidR="00493D72" w:rsidRP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Кодекс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одобрению</w:t>
      </w:r>
      <w:r w:rsidR="00493D72" w:rsidRP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управления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балластными водами (Кодекс BWMS) и предоставить ее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сессию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на следующей сессии после вступления Кодекса в силу.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Принимая во внимание тот факт, что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свете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дат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вступления кодекса BWMS в силу 13 октября 2019 г., и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отмечаю, что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была последней сессией, проведенной до этой даты,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унифицированную интерпретацию приложения I (форма Международного свидетельства по управлению балластными водами)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нвенции BWM и дал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указание Секретариату </w:t>
      </w:r>
      <w:r w:rsidR="0070706B">
        <w:rPr>
          <w:rFonts w:ascii="Times New Roman" w:eastAsia="Times New Roman" w:hAnsi="Times New Roman" w:cs="Times New Roman"/>
          <w:sz w:val="24"/>
          <w:szCs w:val="24"/>
          <w:lang w:bidi="ru-RU"/>
        </w:rPr>
        <w:t>разослать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ее посредством BWM.2/Circ.66/Rev.1.</w:t>
      </w:r>
    </w:p>
    <w:p w:rsidR="00493D72" w:rsidRPr="00C26CDB" w:rsidRDefault="008E6ADF" w:rsidP="00493D7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D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Приемосдаточные испытания</w:t>
      </w:r>
      <w:r w:rsidR="00493D72" w:rsidRPr="008E6AD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систем управления балластными водами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 </w:t>
      </w:r>
    </w:p>
    <w:p w:rsidR="00493D72" w:rsidRPr="00C26CDB" w:rsidRDefault="008E6ADF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71 сессия КЗМС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поручил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 сессии </w:t>
      </w:r>
      <w:r w:rsidRPr="008E6ADF">
        <w:rPr>
          <w:rFonts w:ascii="Times New Roman" w:hAnsi="Times New Roman" w:cs="Times New Roman"/>
          <w:sz w:val="24"/>
          <w:szCs w:val="24"/>
        </w:rPr>
        <w:t>Подкомитет ИМО по осуществлению документов ИМО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по промежуточному освидетельствованию,</w:t>
      </w:r>
      <w:r w:rsidR="00493D72" w:rsidRPr="0069125E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как указано в BWM.2/Circ.7, в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 по </w:t>
      </w:r>
      <w:r w:rsidRPr="008E6ADF">
        <w:rPr>
          <w:rFonts w:ascii="Times New Roman" w:eastAsia="Times New Roman" w:hAnsi="Times New Roman" w:cs="Times New Roman"/>
          <w:sz w:val="24"/>
          <w:szCs w:val="24"/>
          <w:lang w:bidi="ru-RU"/>
        </w:rPr>
        <w:t>гармонизированн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8E6AD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8E6AD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освидетельствования и оформления свидетельств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2017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HSSC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внести в вышеуказанн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положения по 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соответствия отдельных 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управления балластными водами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положению D-2 в связи с их вводом в эксплуатацию (MEPC71/17,  4.41).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>72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сессии</w:t>
      </w:r>
      <w:r w:rsidR="006010E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отмечено, что 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 управления балластными водами/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BWMS в связи с их вводом в эксплуатацию была, по сути, 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предписана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правилом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E-1.1.1 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 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8.2.5 и 8.3.6 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Кодекса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BWMS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; 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днако, нормативн</w:t>
      </w:r>
      <w:r w:rsidR="00C17623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база для объекта 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освидетельствования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(BI) 1.1.2.19 была </w:t>
      </w:r>
      <w:r w:rsidRP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неполной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</w:t>
      </w:r>
      <w:r w:rsidR="003F3971">
        <w:rPr>
          <w:rFonts w:ascii="Times New Roman" w:eastAsia="Times New Roman" w:hAnsi="Times New Roman" w:cs="Times New Roman"/>
          <w:sz w:val="24"/>
          <w:szCs w:val="24"/>
          <w:lang w:bidi="ru-RU"/>
        </w:rPr>
        <w:t>части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отбора проб и анализа.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3F3971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73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BWM.2/Circ.70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Руководству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приемосдаточных испытаниях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управления балластными водами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просил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правительства государств-участников и международные организации представить к этой сессии предложения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целью внесения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соответствующий обязательный инструмент для проведения приемосдаточных испытаний, а также во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ременные меры для решения этого вопроса до вступления в силу</w:t>
      </w:r>
      <w:r w:rsidR="0008129F" w:rsidRP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такой </w:t>
      </w:r>
      <w:r w:rsidR="0008129F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Всем делегациям, высказавшимся в поддержку поправок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провести конвенционные освидетельствования для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обязательных приемосдаточных испытаний систем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BWM.</w:t>
      </w:r>
    </w:p>
    <w:p w:rsidR="00493D72" w:rsidRPr="00C26CDB" w:rsidRDefault="0008129F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E-1 Конвенции BWM с целью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их одобрения на 75 сессии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Любые поправки не вступят в силу как минимум до октября 2021 г., в то время как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приемосдаточные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испытания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 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представляют собой срочную необходимость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должны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уже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быть проведены в соответствии с 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Руководством по пусконаладочным испытаниям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управления балластными водами (BWM.2/Circ.70). 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этой связи некоторые делегации предложили</w:t>
      </w:r>
      <w:r w:rsidR="0008129F">
        <w:rPr>
          <w:rFonts w:ascii="Times New Roman" w:eastAsia="Times New Roman" w:hAnsi="Times New Roman" w:cs="Times New Roman"/>
          <w:sz w:val="24"/>
          <w:szCs w:val="24"/>
          <w:lang w:bidi="ru-RU"/>
        </w:rPr>
        <w:t>, что следует способствовать раннему внедрению любых таких поправок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08129F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поддержала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мнение, что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приемосдаточные испытания должны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начаться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по возможности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скорее в соответствии с BWM.2/Circ.70 и согласил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отразить это решение в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требуемой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резолюции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принятия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соответствующих поправок к обязательным инструментам.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также согласил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мнением, что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приемосдаточные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испытания не должны применяться к судам, установившим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системы 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сертифицированным на соответствие правилу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D-2.</w:t>
      </w:r>
    </w:p>
    <w:p w:rsidR="00493D72" w:rsidRPr="00C26CDB" w:rsidRDefault="005568C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анализ, проведенный в контексте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приемосдаточных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испытаний, будет носить справочный характер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отразить это в </w:t>
      </w:r>
      <w:r w:rsidRP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требуемой</w:t>
      </w:r>
      <w:r w:rsidR="00493D72" w:rsidRPr="005568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приняти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соответствующих поправок к обязательным инструментам.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Стандарт по </w:t>
      </w:r>
      <w:r w:rsidR="0024733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подтверждению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систем мониторинга соответствия балластных вод</w:t>
      </w:r>
    </w:p>
    <w:p w:rsidR="00493D72" w:rsidRPr="00C26CDB" w:rsidRDefault="00493D72" w:rsidP="00493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Различные методы </w:t>
      </w:r>
      <w:r w:rsidRP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справочного и подробного анализа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балластных вод для </w:t>
      </w:r>
      <w:r w:rsidRP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пробно</w:t>
      </w:r>
      <w:r w:rsidR="0024733F" w:rsidRP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го использования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</w:t>
      </w:r>
      <w:r w:rsid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онвенцией по </w:t>
      </w:r>
      <w:r w:rsid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балластными водами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(Конвенция BWM) и </w:t>
      </w:r>
      <w:r w:rsid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(G2) приведены в BWM.2/Circ.42/Rev.1, </w:t>
      </w:r>
      <w:r w:rsidR="0024733F">
        <w:rPr>
          <w:rFonts w:ascii="Times New Roman" w:eastAsia="Times New Roman" w:hAnsi="Times New Roman" w:cs="Times New Roman"/>
          <w:sz w:val="24"/>
          <w:szCs w:val="24"/>
          <w:lang w:bidi="ru-RU"/>
        </w:rPr>
        <w:t>а прочие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методы находятся в разработке. Однако, международные стандартные </w:t>
      </w:r>
      <w:r w:rsidRP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сертификации этих справочных </w:t>
      </w:r>
      <w:r w:rsidRP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отсутствуют.</w:t>
      </w:r>
    </w:p>
    <w:p w:rsidR="00493D72" w:rsidRPr="00C26CDB" w:rsidRDefault="00493D72" w:rsidP="00493D72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Дания внесла предложения по стандарту </w:t>
      </w:r>
      <w:r w:rsid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>для подтверждения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</w:t>
      </w:r>
      <w:r w:rsid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мониторинга соответствия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балластных вод, направленн</w:t>
      </w:r>
      <w:r w:rsid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>ых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проведение справочного анализа для проверки эффективности </w:t>
      </w:r>
      <w:r w:rsidR="008209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BWM до выдачи Международного свидетельства по управлению балластными водами. В ходе последующего обсуждения все делегации высказались в поддержку документа. Некоторые делегации отметили 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потенциальную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возможность параллельного выполнения соответствующих работ в рамках ISO, 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 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подтверждена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необходимость проведения 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приемосдаточных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испытаний до окончательного утверждения настоящего стандарта.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Применение Конвенции BWM к </w:t>
      </w:r>
      <w:r w:rsidR="001726A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специальным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типам судов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Делегации Российской Федерации и Турции предоставили вводную часть описания трудностей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201C0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обнаруженных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применения конвенции BWM к </w:t>
      </w:r>
      <w:r w:rsidR="001726A3"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специальным</w:t>
      </w:r>
      <w:r w:rsidR="001201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типам судов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1201C0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подтвердила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некоторые суда могут столкнуться с трудностями при обеспечении соответствия Конвенции. Некоторые делегации выразили мнение, что Конвенция не предоставляет альтернативных вариантов, в частности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B-3.7, которые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могут применяться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рассмотрении таких случаев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упомянутым примерам относились </w:t>
      </w:r>
      <w:r w:rsidRPr="001726A3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для портов, такие как обработка на берегу или на базе барж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портовые приемные сооружения, использование груза для 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контроля </w:t>
      </w:r>
      <w:r w:rsidR="00F77FAD"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дифферента 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суд</w:t>
      </w:r>
      <w:r w:rsidR="00F77FAD"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использование питьевой или пресной воды и пр.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делегации, 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высказавшиеся по этому вопросу, пришли к согласованному мнению, что так</w:t>
      </w:r>
      <w:r w:rsidR="00F77FAD"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ое руководство по 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вариантам обеспечения соответствия Конвенции, которая была бы направлена на все суда, а не на суда специальных </w:t>
      </w:r>
      <w:r w:rsidR="00F77FAD"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типов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, была бы полезна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Администраций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и отрасли в целом.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 связи с эт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Группа решила, что эт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а цель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достигнута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путем пересмотра существующе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го руководства, такого как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вышеупомянут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ый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BWM.2/Circ.44, в целях расширения применимости и углубления ее содержания либо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при помощи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нового циркуляра.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Пленарное заседание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попросило предоставить </w:t>
      </w:r>
      <w:r w:rsidR="00F77FAD"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сессии </w:t>
      </w:r>
      <w:r w:rsidR="00F77FAD" w:rsidRPr="00F77FAD">
        <w:rPr>
          <w:rFonts w:ascii="Times New Roman" w:hAnsi="Times New Roman" w:cs="Times New Roman"/>
          <w:sz w:val="24"/>
          <w:szCs w:val="24"/>
        </w:rPr>
        <w:t>Подкомитета ИМО по предупреждению загрязнения и реагированию</w:t>
      </w:r>
      <w:r w:rsidR="00F77FAD">
        <w:rPr>
          <w:rFonts w:ascii="Times New Roman" w:hAnsi="Times New Roman" w:cs="Times New Roman"/>
          <w:sz w:val="24"/>
          <w:szCs w:val="24"/>
        </w:rPr>
        <w:t>/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P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конкретные предложения по вариантам, отличным от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 BWM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 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оответствия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BWM в дополнение к </w:t>
      </w:r>
      <w:r w:rsidR="00F77F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перечисленным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 BWM.2/Circ.44.</w:t>
      </w:r>
    </w:p>
    <w:p w:rsidR="00493D72" w:rsidRPr="00C26CDB" w:rsidRDefault="00493D72" w:rsidP="00493D72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Загрязнение </w:t>
      </w:r>
      <w:r w:rsidR="00817B4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атмосферы</w:t>
      </w: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B840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 судов </w:t>
      </w: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 </w:t>
      </w:r>
      <w:r w:rsidR="00F77FA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энергоэффективность</w:t>
      </w:r>
    </w:p>
    <w:p w:rsidR="00493D72" w:rsidRPr="00C26CDB" w:rsidRDefault="00493D72" w:rsidP="00493D72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F77FAD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в поддержку согласованного внедрения 0,50% предельного содержания серы, включающего поправки к следующим документам:</w:t>
      </w:r>
    </w:p>
    <w:p w:rsidR="00493D72" w:rsidRPr="00C26CDB" w:rsidRDefault="00F47504" w:rsidP="00493D72">
      <w:pPr>
        <w:pStyle w:val="a3"/>
        <w:numPr>
          <w:ilvl w:val="0"/>
          <w:numId w:val="1"/>
        </w:numPr>
        <w:spacing w:line="21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по применению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F47504" w:rsidP="00493D72">
      <w:pPr>
        <w:pStyle w:val="a3"/>
        <w:numPr>
          <w:ilvl w:val="0"/>
          <w:numId w:val="1"/>
        </w:numPr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Правило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2, содержащее определения «содержани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серы в топливе», «топливо с низкой температурой вспышки», «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предоставленный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МАРПОЛ», «используемый образец» и «бортовой образец»;</w:t>
      </w:r>
    </w:p>
    <w:p w:rsidR="00493D72" w:rsidRPr="00F47504" w:rsidRDefault="00F47504" w:rsidP="00493D72">
      <w:pPr>
        <w:pStyle w:val="a3"/>
        <w:numPr>
          <w:ilvl w:val="0"/>
          <w:numId w:val="1"/>
        </w:numPr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использования и 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процедур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отбора проб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борту судна, а также процедур подтверждения испытаний образца топлива на соответствии требованиям Приложения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Конвенции МАРПОЛ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F47504" w:rsidRDefault="00493D72" w:rsidP="00493D72">
      <w:pPr>
        <w:pStyle w:val="a3"/>
        <w:numPr>
          <w:ilvl w:val="0"/>
          <w:numId w:val="1"/>
        </w:numPr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VI, касающееся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образцов топлива на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соответствие 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МАРПОЛ.</w:t>
      </w:r>
    </w:p>
    <w:p w:rsidR="00493D72" w:rsidRPr="00C26CDB" w:rsidRDefault="00F47504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1, 2, 14 и 18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 и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с целью принятия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75 сессии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Признавая некоторые сомнения в отношении удаления этапа 2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процедуры подтверждения дополнения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на 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PPR, Группа согласовала альтернативный текст, заменяющий пп. 2.6 и 4.6 приложения VI, </w:t>
      </w:r>
      <w:r w:rsidRP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предоставляющий полномочному органу гибкость оценки окончательного результата, полученного из лаборатории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определения соответствия топлива применимому предел</w:t>
      </w:r>
      <w:r w:rsidR="00F47504">
        <w:rPr>
          <w:rFonts w:ascii="Times New Roman" w:eastAsia="Times New Roman" w:hAnsi="Times New Roman" w:cs="Times New Roman"/>
          <w:sz w:val="24"/>
          <w:szCs w:val="24"/>
          <w:lang w:bidi="ru-RU"/>
        </w:rPr>
        <w:t>ьному значению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содержания серы.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</w:t>
      </w:r>
      <w:r w:rsidR="00817B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Руководства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2019</w:t>
      </w:r>
      <w:r w:rsidR="00817B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согласованному внедрению </w:t>
      </w:r>
      <w:r w:rsidRPr="00817B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0,50% предела содержания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серы </w:t>
      </w:r>
      <w:r w:rsidR="00817B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соответствии с Приложением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VI к </w:t>
      </w:r>
      <w:r w:rsidR="00817B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Конвенции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МАРПОЛ</w:t>
      </w:r>
    </w:p>
    <w:p w:rsidR="00493D72" w:rsidRPr="00C26CDB" w:rsidRDefault="00817B4F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817B4F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Pr="00817B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</w:t>
      </w:r>
      <w:r w:rsidR="00493D72" w:rsidRPr="00817B4F">
        <w:rPr>
          <w:rFonts w:ascii="Times New Roman" w:eastAsia="Times New Roman" w:hAnsi="Times New Roman" w:cs="Times New Roman"/>
          <w:sz w:val="24"/>
          <w:szCs w:val="24"/>
          <w:lang w:bidi="ru-RU"/>
        </w:rPr>
        <w:t>ринял</w:t>
      </w:r>
      <w:r w:rsidRPr="00817B4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резолюцию MEPC.320 (74)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согласованному внедрению 0,50% предел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ьного значения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содержания серы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МАРПОЛ.</w:t>
      </w:r>
    </w:p>
    <w:p w:rsidR="00493D72" w:rsidRPr="00C26CDB" w:rsidRDefault="00493D72" w:rsidP="00493D72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817B4F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сессия Подкомитета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единый пакет руководств по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«Согласованному внедрению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14.1.3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МАРПОЛ».</w:t>
      </w:r>
    </w:p>
    <w:p w:rsidR="00493D72" w:rsidRPr="00C26CDB" w:rsidRDefault="00817B4F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 согласованному внедрению 0,50% предел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ьного значения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содержания серы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Приложением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VI 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сессию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последующего принятия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B840DD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>Межсессионно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согласованному внедрению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14.1.3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принято решение о разработке проекта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КЗМС в отношении руководства по планированию внедрения на судах на 2020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г.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План внедрения на судах не будет иметь обязательн</w:t>
      </w:r>
      <w:r w:rsid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>ый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 и не </w:t>
      </w:r>
      <w:r w:rsid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требует утверждения Администрацией.</w:t>
      </w:r>
    </w:p>
    <w:p w:rsidR="00493D72" w:rsidRPr="00C26CDB" w:rsidRDefault="00B840DD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493D72" w:rsidRPr="00B840DD">
        <w:rPr>
          <w:rFonts w:ascii="Times New Roman" w:eastAsia="Times New Roman" w:hAnsi="Times New Roman" w:cs="Times New Roman"/>
          <w:sz w:val="24"/>
          <w:szCs w:val="24"/>
          <w:lang w:bidi="ru-RU"/>
        </w:rPr>
        <w:t>PPR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Отчет о недоступности топлива (FONAR), как указано в </w:t>
      </w:r>
      <w:r w:rsidR="00493D72" w:rsidRP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к проекту </w:t>
      </w:r>
      <w:r w:rsid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согласованному внедрению 0,50% предельного содержания серы.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отметить, что </w:t>
      </w:r>
      <w:r w:rsid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18.2.4 </w:t>
      </w:r>
      <w:r w:rsid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конвенции МАРПОЛ не </w:t>
      </w:r>
      <w:r w:rsid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>предусматривает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возможности </w:t>
      </w:r>
      <w:r w:rsidR="005D4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предоставления информации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FONAR порту, не 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чившему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соответствующее нефтяное топливо в противоположность 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18.1 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МАРПОЛ, и что модуль приемного сооружения порта в ГИСИС может предоставить модель для рассмотрения этого вопроса.</w:t>
      </w:r>
    </w:p>
    <w:p w:rsidR="00493D72" w:rsidRPr="00C26CDB" w:rsidRDefault="00AF61B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также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обратила внимание на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предоставленную наблюдателем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морско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форум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нефтедобывающих компаний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OCIMF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информацию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разработке общеотраслевого руководства по вопросам потенциальной безопасности и эксплуатации в отношении поставки и использования топлива с максимальным содержанием серы 0,50% ч/млн. OCIMF подтвердил, что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совместное 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отраслев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включает информацию из проекта ISO </w:t>
      </w:r>
      <w:r w:rsidR="00493D72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PAS 23263, н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аск</w:t>
      </w:r>
      <w:r w:rsidR="00493D72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олько это возможно,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 общеотраслевое руководство должно выйти в августе 2019 г.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ISO высказал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соображение о подготовке Общедоступн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ой спецификации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(PAS) 23263, содержащ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руководство по применению существующего стандарта на судов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ое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ISO 8217 </w:t>
      </w:r>
      <w:r w:rsidR="00AF61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марок топлива, отвечающих требованию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предельному значению содержания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серы 0,50%, котор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опубликован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этом году.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</w:t>
      </w:r>
      <w:r w:rsidR="000444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руководства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2019 </w:t>
      </w:r>
      <w:r w:rsidR="000444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г.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 контролю судов со стороны государства порта </w:t>
      </w:r>
      <w:r w:rsidR="000444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соответствии с Приложением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VI к </w:t>
      </w:r>
      <w:r w:rsidR="000444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онвенции МАРПОЛ</w:t>
      </w:r>
    </w:p>
    <w:p w:rsidR="00493D72" w:rsidRPr="00C26CDB" w:rsidRDefault="00044484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езолюцию MEPC.321(74)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контролю судов со стороны государства порта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- глава 3.</w:t>
      </w:r>
    </w:p>
    <w:p w:rsidR="00493D72" w:rsidRPr="00C26CDB" w:rsidRDefault="00044484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включить новый пункт 2.1.6 с описанием контроля возможных несоответствий между содержанием серы в бункерной расписке и результатами независимых испытаний коммерческих образцов, отобранных на судне в ходе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бункеровки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было принято решение включить в проект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новое приложение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содержащее руководящие указания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инспекторов государственного портового контроля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случа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заявления о недоступности подходящего топлива, и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использовавших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Отчет о недоступности нефтяного топлива (FONAR),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являющийся приложением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проекту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 по согласованному внедрению 0,50% предел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ьного значения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содержания серы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основании 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044484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МАРПОЛ.</w:t>
      </w:r>
    </w:p>
    <w:p w:rsidR="00493D72" w:rsidRPr="00C26CDB" w:rsidRDefault="00493D72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рассмотрения Группа согласилась включить поправки относительно NOX.</w:t>
      </w:r>
    </w:p>
    <w:p w:rsidR="00493D72" w:rsidRPr="00C26CDB" w:rsidRDefault="00044484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руководства о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государственном портовом контрол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 по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чрезвычайны</w:t>
      </w:r>
      <w:r w:rsidR="00BD29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мер</w:t>
      </w:r>
      <w:r w:rsidR="00BD29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ам для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решени</w:t>
      </w:r>
      <w:r w:rsidR="00BD29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я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вопроса о несоответств</w:t>
      </w:r>
      <w:r w:rsidR="00BD29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ующем топливе</w:t>
      </w:r>
    </w:p>
    <w:p w:rsidR="00493D72" w:rsidRPr="00C26CDB" w:rsidRDefault="00BD29BA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MEPC.1/Circ.882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портовом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чрезвычайных мер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вопроса о несоответств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ующем топливе.</w:t>
      </w:r>
    </w:p>
    <w:p w:rsidR="00493D72" w:rsidRPr="00C26CDB" w:rsidRDefault="00BD29BA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должен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рассматривать любые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ы, связанные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несоответствием топлива, и не должен быть ограничен по времени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или применяться исключительно в ситуациях недоступности топлива после вступления в силу мирового предельного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значения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содержания серы.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BD29BA" w:rsidP="00493D72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Заблаговременное 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применение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одобренных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поправок 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процедурам подтверждения образца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топлива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онвенции МАРПОЛ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BD29BA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C.1/Circ.881 об Уведомлении о заблаговременном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процедур подтверждения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образца топлива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18.8.2 или 14.8).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Оно направлено на обеспечение согласованного подхода к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предельного содержания серы в топлив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 вступления в силу утвержденных поправок к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целях обеспечения согласованного подхода к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предельного содержания серы в топливе, поставленно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используемо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перевозимом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борт</w:t>
      </w:r>
      <w:r w:rsidR="00BD29BA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судна до вступления в силу</w:t>
      </w:r>
      <w:r w:rsidR="00A53D69" w:rsidRP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одобренных </w:t>
      </w:r>
      <w:r w:rsidR="00A53D69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поправок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государства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-участник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ам предлагается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применить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одобренные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МАРПОЛ, относящиеся к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процедуре подтверждения образцов топлива в соответствии с Приложением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VI к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(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18.8.2 или </w:t>
      </w:r>
      <w:r w:rsidR="00A53D69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14.8), содержащиеся в дополнении к настоящему Циркуляру, до их вступления в силу.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циркуляра </w:t>
      </w:r>
      <w:r w:rsidR="00A53D6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КЗМС к руководству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2019</w:t>
      </w:r>
      <w:r w:rsidR="00A53D6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5507D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 отбору проб</w:t>
      </w:r>
      <w:r w:rsidR="00A53D6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борту судна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для </w:t>
      </w:r>
      <w:r w:rsidR="00A53D6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подтверждения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содержания серы в топливе, используемом на борту судов</w:t>
      </w:r>
    </w:p>
    <w:p w:rsidR="00493D72" w:rsidRPr="00C26CDB" w:rsidRDefault="00A53D69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MEPC.1/Circ.864/Rev.1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5507D5">
        <w:rPr>
          <w:rFonts w:ascii="Times New Roman" w:eastAsia="Times New Roman" w:hAnsi="Times New Roman" w:cs="Times New Roman"/>
          <w:sz w:val="24"/>
          <w:szCs w:val="24"/>
          <w:lang w:bidi="ru-RU"/>
        </w:rPr>
        <w:t>отношении руководства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</w:t>
      </w:r>
      <w:r w:rsidR="005507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507D5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507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отбору проб на борту судна для подтверждения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содержания серы в топливе, используемом на борту судов.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Руководство по </w:t>
      </w:r>
      <w:r w:rsid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индикации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текущего соответствия в случае отказа отдельного контрольно-измерительного прибора и рекомендуемые действия в случае </w:t>
      </w:r>
      <w:r w:rsid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несоответствия п</w:t>
      </w:r>
      <w:r w:rsidR="00684029" w:rsidRP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риёмник</w:t>
      </w:r>
      <w:r w:rsid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</w:t>
      </w:r>
      <w:r w:rsidR="00684029" w:rsidRP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расширенного группового вызова</w:t>
      </w:r>
      <w:r w:rsid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/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EGCS положени</w:t>
      </w:r>
      <w:r w:rsidR="0068402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ям Руководства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MEPC74 утвердил MEPC.1/Circ.884 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индикации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текущего соответствия в случае отказа отдельного контрольно-измерительного прибора и рекомендуемые действия в случае несо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ответствия приемника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EGCS положени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ям Руководства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684029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возникновени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неисправности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измерительных приборов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уровня выбросов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сброса воды (pH, ПАУ,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помутнение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судно должно вести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отчетные данные 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промежуточной индикации для демонстрации соответствия.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любых неисправностях 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приемника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EGCS</w:t>
      </w:r>
      <w:r w:rsidR="00684029">
        <w:rPr>
          <w:rFonts w:ascii="Times New Roman" w:eastAsia="Times New Roman" w:hAnsi="Times New Roman" w:cs="Times New Roman"/>
          <w:sz w:val="24"/>
          <w:szCs w:val="24"/>
          <w:lang w:bidi="ru-RU"/>
        </w:rPr>
        <w:t>, длительность которых составляет б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олее одного часа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повторяющихся неисправностях следует докладывать Администрации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государства флага и порта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совместно с описанием шагов,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предпринятых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оператором судна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устранение неисправности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 своему усмотрению Администраци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государства флага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порта мо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жет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учесть эту информацию и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прочие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соответствующие обстоятельства для определения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соответствующих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мер,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должны быть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предприн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яты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отказа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приемника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EGCS, включая </w:t>
      </w:r>
      <w:r w:rsidR="002C1943">
        <w:rPr>
          <w:rFonts w:ascii="Times New Roman" w:eastAsia="Times New Roman" w:hAnsi="Times New Roman" w:cs="Times New Roman"/>
          <w:sz w:val="24"/>
          <w:szCs w:val="24"/>
          <w:lang w:bidi="ru-RU"/>
        </w:rPr>
        <w:t>неприменение мер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циркуляра </w:t>
      </w:r>
      <w:r w:rsidR="002C194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КБМ-КЗСМ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о поставке соответствующего топлива</w:t>
      </w:r>
      <w:r w:rsidR="002C194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поставщиками</w:t>
      </w:r>
    </w:p>
    <w:p w:rsidR="00493D72" w:rsidRPr="00C26CDB" w:rsidRDefault="000245C9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обязательным последующим утверждением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101 сессии Комитета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проект циркуляра КБМ-КЗСМ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поставке соответствующего топлива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поставщиками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0245C9" w:rsidP="00493D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уководство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 передовой практике 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для государства-участника/прибрежного государства</w:t>
      </w:r>
    </w:p>
    <w:p w:rsidR="00493D72" w:rsidRPr="00C26CDB" w:rsidRDefault="000245C9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73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утвержден MEPC.1/Circ.875/Add.1 в отношении руководства по передовой практике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поставщиков топлива в целях обеспечения качества поставляемого на суда топлива.</w:t>
      </w:r>
    </w:p>
    <w:p w:rsidR="00493D72" w:rsidRPr="00C26CDB" w:rsidRDefault="000245C9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MEPC.1/Circ.883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по передовой практике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государства-участника/прибрежного государства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Эти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>передовые практики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предназначены для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>содействия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странам-участникам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выполнении их обязанностей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МАРПОЛ, обеспечения эффективной реализации и контроля за соблюдением 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конвенционных </w:t>
      </w:r>
      <w:r w:rsidR="000E18A0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требований</w:t>
      </w:r>
      <w:r w:rsidR="000E1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установленных этим дополнением.</w:t>
      </w:r>
    </w:p>
    <w:p w:rsidR="00493D72" w:rsidRPr="00C26CDB" w:rsidRDefault="004E1960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целом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признал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пользу схемы добровольного лицензирования бункеровщиков для обеспечения качества и соответствия нефтяного топлива. 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Группа согласилась включить новый пункт с рекомендациями для стран-участников или других соответствующих инстанций, желающих выполнить это, о решении установления или продвижения схемы лицензирования бункеровщиков. 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Признавая существующие или планируемые схемы лицензирования бункеровщиков в различных странах-участниках, </w:t>
      </w:r>
      <w:r w:rsidR="004E196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E1960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принял</w:t>
      </w:r>
      <w:r w:rsidR="004E19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решение сохранить предложенный пример лицензии бункеровщика, содержащейся в </w:t>
      </w:r>
      <w:r w:rsidR="004E19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приложении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к документу MEPC74/5/4, для рассмотрения на следующей сессии.</w:t>
      </w:r>
    </w:p>
    <w:p w:rsidR="00493D72" w:rsidRPr="00C26CDB" w:rsidRDefault="004E1960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Совершенствование внедрения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18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Приложения 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VI к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онвенции МАРПОЛ</w:t>
      </w:r>
    </w:p>
    <w:p w:rsidR="00493D72" w:rsidRPr="00C26CDB" w:rsidRDefault="004E1960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представила дальнейшие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конкретные предложения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по совершенствованию внедрения правила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18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онвенции МАРПОЛ, в частности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 качеству топлива и предоставлению информации о недоступности соответствующего топлива, включая оптимизацию модуля ГИСИС </w:t>
      </w:r>
      <w:r w:rsidR="0044353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в соответствии с Приложением VI к 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онвенции МАРПОЛ в целях обеспечения сбора и анализа данных.</w:t>
      </w:r>
    </w:p>
    <w:p w:rsidR="00493D72" w:rsidRPr="00C26CDB" w:rsidRDefault="00443530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MEPC.1/Circ. о предоставлении данных касательно доступности и качества топлива в ГИСИС в целях обеспечения лучшего понимания согласованного внедрения предел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ьного значения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содержания серы 0,50% ч/млн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онвенции МАРПОЛ.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Следует отметить, </w:t>
      </w:r>
      <w:r w:rsidRPr="00637186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что </w:t>
      </w:r>
      <w:r w:rsidR="0044353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 целью содействия судоходным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компаниям 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при внедрении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мирово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го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предельно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го значения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содержани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серы в 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судовом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топливе, 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Международная палат судоходства/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ICS при поддержке Азиатской ассоциации судовладельцев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/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ASA и Ассоциации судовладельцев Европейского сообщества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/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ECSA было разработано несколько бесплатных подробных рекомендаций по планированию внедрения в целях обеспечения соответствия в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сей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отрасли 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судоходства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 этим нормативным фактором, меняющим развитие ситуации.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Руководство для 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судоходных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компаний и экипажей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судов при подготовке мер на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соответстви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 Директивой об ограничении максимального содержания серы в судовом топливе</w:t>
      </w:r>
      <w:r w:rsidR="00E01D4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202 г.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доступно по следующей ссылке:</w:t>
      </w:r>
    </w:p>
    <w:p w:rsidR="00493D72" w:rsidRDefault="003A63DE" w:rsidP="00493D72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</w:pPr>
      <w:hyperlink r:id="rId5" w:history="1">
        <w:r w:rsidR="00E01D42" w:rsidRPr="00041176"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lang w:bidi="ru-RU"/>
          </w:rPr>
          <w:t>http://www.ics-shipping.org/free-resources/2020-sulphur-compliance</w:t>
        </w:r>
      </w:hyperlink>
    </w:p>
    <w:p w:rsidR="00493D72" w:rsidRPr="00C26CDB" w:rsidRDefault="00E01D4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Анализ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коэффициента конструктивной</w:t>
      </w:r>
      <w:r w:rsidRPr="00E01D42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энерг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оэ</w:t>
      </w:r>
      <w:r w:rsidRPr="00E01D42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ффективности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/ККЭЭ/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EEDI, требуемы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й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соответствии с правилом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21.6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онвенции МАРПОЛ</w:t>
      </w:r>
    </w:p>
    <w:p w:rsidR="00493D72" w:rsidRPr="00C26CDB" w:rsidRDefault="00E01D4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 п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редложила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предоставить конкретные предложения по разработке проекта поправок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Приложению VI к 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онвенции МАРПОЛ по усилению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коэффициента конструктивной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энергоэффективности этапа 3 для дальнейшего рассмотрения на </w:t>
      </w:r>
      <w:r w:rsidR="004F010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сессии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MEPC с целью </w:t>
      </w:r>
      <w:r w:rsidR="004F010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одобрения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. </w:t>
      </w:r>
    </w:p>
    <w:p w:rsidR="00493D72" w:rsidRPr="00C26CDB" w:rsidRDefault="004F0100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поручил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Корреспондентской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группе по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проведению анализа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ККЭЭ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за пределами этапа 2 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дальнейшую разработку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вышеуказанного проекта поправок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Приложению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онвенции МАРПОЛ.</w:t>
      </w:r>
    </w:p>
    <w:p w:rsidR="00493D72" w:rsidRPr="00C26CDB" w:rsidRDefault="004F0100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отозвав решение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сессии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MEPC, рассмотрел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поправки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применительно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к газовозам, контейнеровозам,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судам генгруза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 рефрижераторным судам, комбинированным грузовозам, газовозам СПГ и круизным пассажирским судам с нестандартной двигательной установкой на основ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ании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отчета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Корреспондентской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группы.</w:t>
      </w:r>
    </w:p>
    <w:p w:rsidR="00493D72" w:rsidRPr="00C26CDB" w:rsidRDefault="004F0100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одобрила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проект поправок к таблице 1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21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онвенции МАРПОЛ с целью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их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принятия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на 75 сессии 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Заинтересованные делегации могут предоставить документы с предложением альтернативных значений </w:t>
      </w:r>
      <w:r w:rsidR="004F010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ККЭЭ на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рассмотрени</w:t>
      </w:r>
      <w:r w:rsidR="004F010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следующей сессии до принятия проекта поправок к значениям </w:t>
      </w:r>
      <w:r w:rsidR="004F010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ККЭЭ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для контейнерных судов, включая текст проекта поправок.</w:t>
      </w:r>
    </w:p>
    <w:p w:rsidR="00493D72" w:rsidRPr="00C26CDB" w:rsidRDefault="004F0100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решил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сохранить текущие требования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ККЭЭ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этапа 3 для танкеров и навалочных судов. Тем не менее,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74 сессия MEPС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рассмотрел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предложение о поправках к </w:t>
      </w:r>
      <w:r w:rsidR="00B02E65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правилу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21.3 </w:t>
      </w:r>
      <w:r w:rsidR="00B02E65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Приложения VI к 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онвенции МАРПОЛ относительно </w:t>
      </w:r>
      <w:r w:rsidR="00B02E65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справочных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линейных параметров показателя </w:t>
      </w:r>
      <w:r w:rsidR="00B02E65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ККЭЭ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для </w:t>
      </w:r>
      <w:r w:rsidR="00B02E65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очень крупных судов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навалочного типа. </w:t>
      </w:r>
    </w:p>
    <w:p w:rsidR="00493D72" w:rsidRPr="00C26CDB" w:rsidRDefault="00B02E65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lastRenderedPageBreak/>
        <w:t>По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мнению инициаторов этих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493D72" w:rsidRPr="00637186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поправок,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штрафы к более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эффективным навалочным судам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применяться не должны; решение состоит в использовании константы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после определенного порогового тоннажа, нежели экстраполирование </w:t>
      </w:r>
      <w:r w:rsidR="00054F81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базисной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линии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 что представляет собой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подход,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применяемый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для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изменения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положений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в отношении грузовых и пассажирских судов ро-ро</w:t>
      </w:r>
      <w:r w:rsidR="00493D7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.</w:t>
      </w:r>
    </w:p>
    <w:p w:rsidR="00493D72" w:rsidRPr="00C26CDB" w:rsidRDefault="00B02E65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 утвердил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проект поправок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правилу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21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онвенции МАРПОЛ в отношении факторов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снижения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ККЭЭ 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и параметров определения </w:t>
      </w:r>
      <w:r w:rsidR="00054F81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базисной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линии для навалочных судов с целью </w:t>
      </w:r>
      <w:r w:rsidR="00054F81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принятия на 75 сессии  MEPC</w:t>
      </w:r>
      <w:r w:rsidR="00493D72"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поправок к 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правилу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20 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VI к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онвенции МАРПОЛ и поправок к 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Руководству по методу расчета полученного</w:t>
      </w:r>
      <w:r w:rsidR="00054F81" w:rsidRPr="00054F8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</w:t>
      </w:r>
      <w:r w:rsidR="00054F8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коэффициента конструктивной</w:t>
      </w:r>
      <w:r w:rsidR="00054F81" w:rsidRPr="00E01D42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энерг</w:t>
      </w:r>
      <w:r w:rsidR="00054F8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оэ</w:t>
      </w:r>
      <w:r w:rsidR="00054F81" w:rsidRPr="00E01D42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ффективности</w:t>
      </w:r>
      <w:r w:rsidR="00054F8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/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ККЭЭ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2018</w:t>
      </w:r>
      <w:r w:rsidR="00054F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г. д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ля новых судов (резолюция MEPC.308(73))</w:t>
      </w:r>
    </w:p>
    <w:p w:rsidR="00493D72" w:rsidRPr="00C26CDB" w:rsidRDefault="00054F81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обязательного предоставления отчетности о подтвержденных ККЭЭ/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EEDI для новых судов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применительно к 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этапа 0, этапа 1 и последующих этапов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054F81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сессии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представлено на рассмотрение предложение о поправках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МАРПОЛ, требующее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обязательной отчетности проверенных полученных значений EEDI и соответствующей информации для судов,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подпадающих под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фазы 0 и 1, и проверенных значений EEDI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а также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соответствующей информации для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любого нового будущего судна, подпадающего под действие 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МАРПОЛ. </w:t>
      </w:r>
    </w:p>
    <w:p w:rsidR="00493D72" w:rsidRPr="00C26CDB" w:rsidRDefault="00054F81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с целью принятия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75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MEPC.</w:t>
      </w:r>
    </w:p>
    <w:p w:rsidR="00493D72" w:rsidRPr="00C26CDB" w:rsidRDefault="00493D72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Предложенные поправки, изменяющие 30 и 90 дней на семь месяцев в новом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20.3.1 и 20.3.2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МАРПОЛ, позвол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 Администрациям или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должным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образом признанным организациям дважды в год предоставлять Организации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обобщенный пакет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данных </w:t>
      </w:r>
      <w:r w:rsidR="00C01A4D">
        <w:rPr>
          <w:rFonts w:ascii="Times New Roman" w:eastAsia="Times New Roman" w:hAnsi="Times New Roman" w:cs="Times New Roman"/>
          <w:sz w:val="24"/>
          <w:szCs w:val="24"/>
          <w:lang w:bidi="ru-RU"/>
        </w:rPr>
        <w:t>по ККЭЭ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C01A4D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Резолюцию MEPC.322(74)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 по методу расчета полученного конструктивного коэффициента энергоэффективности/ККЭЭ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новых судов (резолюция MEPC.308(73)).</w:t>
      </w:r>
    </w:p>
    <w:p w:rsidR="00493D72" w:rsidRPr="00C26CDB" w:rsidRDefault="00493D72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Возможное представление </w:t>
      </w:r>
      <w:r w:rsidR="00C01A4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ККЭЭ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этапа 4</w:t>
      </w:r>
    </w:p>
    <w:p w:rsidR="00493D72" w:rsidRPr="00C26CDB" w:rsidRDefault="00C01A4D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создать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Корреспондентскую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группу по возможному представлению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этапа 4.</w:t>
      </w:r>
    </w:p>
    <w:p w:rsidR="00493D72" w:rsidRPr="00C26CDB" w:rsidRDefault="00493D72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Ограничение мощности на валу и минимальная тяговая мощность для обеспечения маневренности судов в неблагоприятных условиях</w:t>
      </w:r>
    </w:p>
    <w:p w:rsidR="00493D72" w:rsidRPr="00C26CDB" w:rsidRDefault="00C01A4D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73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рассмотреть требования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этапа 3 на основании применения временно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 Руководства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2013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по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минимальной движущей силы, предлагая техническое решение возможных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ями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ККЭЭ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минимальной требуемой тяговой мощности,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обеспечения маневренности судов в неблагоприятных условиях.</w:t>
      </w:r>
    </w:p>
    <w:p w:rsidR="00493D72" w:rsidRPr="00C26CDB" w:rsidRDefault="00C01A4D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Многие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делегации поддержали дальнейшую разработку и применение ограничения мощности на валу (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ShaPoLi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отметив, что это был единственный возможный вариант, который мог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потенциально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способствовать совершенствованию энергоэффективности в вопросах минимальной мощности, особенно для больших навалочных судов и нефтеналивных танкеров, и мог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применяться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отбора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мощности в экстремальных погодных условиях. </w:t>
      </w:r>
    </w:p>
    <w:p w:rsidR="00493D72" w:rsidRPr="00C26CDB" w:rsidRDefault="00493D72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отметили, что существуют важные технические барьеры, которые все еще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следует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устранить, включая вопросы о том, как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мощность двигателя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должна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сертификации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дизельного двигателя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наличие выбросов </w:t>
      </w:r>
      <w:r w:rsidR="00563C49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NOX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 мож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ет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 оптимальный гребной винт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применяться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неблагоприятных погодных условиях или только 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>при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нормальных условиях</w:t>
      </w:r>
      <w:r w:rsidR="00563C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эксплуатации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563C49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призвала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государства-у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частники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международные организации на следующей сессии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дальнейшую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информацию и конкретные предложения об ограничении мощности на валу. </w:t>
      </w:r>
    </w:p>
    <w:p w:rsidR="00493D72" w:rsidRPr="00C26CDB" w:rsidRDefault="00895C85" w:rsidP="00493D72">
      <w:pPr>
        <w:pStyle w:val="a3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MEPC.1/Circ.795/Rev.4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унифицированных интерпретаци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 к Приложению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МАРПОЛ, включающий унифицированные интерпретации для:</w:t>
      </w:r>
    </w:p>
    <w:p w:rsidR="00493D72" w:rsidRPr="00C26CDB" w:rsidRDefault="00895C85" w:rsidP="00493D72">
      <w:pPr>
        <w:pStyle w:val="a3"/>
        <w:numPr>
          <w:ilvl w:val="0"/>
          <w:numId w:val="1"/>
        </w:numPr>
        <w:spacing w:line="235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13.2.2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в отношении времени замены или добавления двигателя;</w:t>
      </w:r>
    </w:p>
    <w:p w:rsidR="00493D72" w:rsidRPr="00C26CDB" w:rsidRDefault="00895C85" w:rsidP="00493D72">
      <w:pPr>
        <w:pStyle w:val="a3"/>
        <w:numPr>
          <w:ilvl w:val="0"/>
          <w:numId w:val="1"/>
        </w:numPr>
        <w:spacing w:line="235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13.5.3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в отношении применимости требований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отчетности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замене двигателей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Ярус/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Tier II)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резолюцией MEPC.230(65));</w:t>
      </w:r>
    </w:p>
    <w:p w:rsidR="00493D72" w:rsidRPr="00C26CDB" w:rsidRDefault="00895C85" w:rsidP="00493D7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14.1 </w:t>
      </w:r>
      <w:r w:rsidR="00C45899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 VI к 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в отношении применения требования к содержанию серы в топливе для аварийного оборудования, и</w:t>
      </w:r>
    </w:p>
    <w:p w:rsidR="00493D72" w:rsidRPr="00C26CDB" w:rsidRDefault="00C45899" w:rsidP="00493D7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16.9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в отношении судовых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инсинераторов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C45899" w:rsidP="00493D7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Влияние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международного судоходства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на Арктику 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вследствие выбросов технического углерода</w:t>
      </w:r>
    </w:p>
    <w:p w:rsidR="00493D72" w:rsidRPr="00C26CDB" w:rsidRDefault="00C45899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899">
        <w:rPr>
          <w:rFonts w:ascii="Times New Roman" w:hAnsi="Times New Roman" w:cs="Times New Roman"/>
          <w:sz w:val="24"/>
          <w:szCs w:val="24"/>
        </w:rPr>
        <w:t>6 сессия Подкомитет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899">
        <w:rPr>
          <w:rFonts w:ascii="Times New Roman" w:hAnsi="Times New Roman" w:cs="Times New Roman"/>
          <w:sz w:val="24"/>
          <w:szCs w:val="24"/>
        </w:rPr>
        <w:t xml:space="preserve"> ИМО по предупреждению загрязнения и реагированию/</w:t>
      </w:r>
      <w:r w:rsidR="00493D72" w:rsidRPr="00C45899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завершил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работу над документом «Рассмотрение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влияния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международного судоходства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Арктику вследствие выбросов технического углерода» в соответствии с 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техническим заданием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полученным на 62 сессии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C45899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требование 6 сессии Подкомитета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предоставления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инструкций к дальнейшей работе по снижению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влияния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международного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судоходства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на Арктику вследствие выбросов технического углерода, принимая во внимание имеющиеся в настоящий момент выходные документы, включая упрощенные сборники определенных потенциальных мер регулирования и руководства, определяющие области возможной работы в будущем.</w:t>
      </w:r>
    </w:p>
    <w:p w:rsidR="00493D72" w:rsidRPr="00C26CDB" w:rsidRDefault="00493D72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Подавляющее большинство 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>в целом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поддержало проект 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задания по снижению воздействия на Арктику со стороны международного судоходства вследствие выбросов технического углерода для дальнейшего рассмотрения 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 сессии Подкомитета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соответственно с целью передачи на</w:t>
      </w:r>
      <w:r w:rsid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рассмотрение 74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Сокращение выбросов </w:t>
      </w:r>
      <w:r w:rsidR="0088546E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парниковых газов/</w:t>
      </w: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ПГ с судов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637186" w:rsidRDefault="0088546E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MEPC, утверждая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рограмму последующих действий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Первоначальной стратегии до 2023 г., отметил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что, принимая во внимание высокую рабочую нагрузку, возникающую в связи с последующими действиями, важно обеспечивать усиленную поддержку в отношении организации рабочей структуры для обеспечения реализации последующих действий,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призвал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-участников предоставить конкретные предложения, позволяющие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достичь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взвешенное решение или рекомендации</w:t>
      </w:r>
      <w:r w:rsidRPr="008854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этой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сессии</w:t>
      </w:r>
      <w:r w:rsidR="00493D72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88546E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</w:t>
      </w:r>
      <w:r w:rsidR="00493D72"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группа столкнулась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ограничениями, так как переговоры при личной встрече заменить невозможно; оптимальным решением стала организация поддержки постоянной технической группой, это дало подкомитету преимущество без последствий для бюджета, так как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перевод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требовал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 это решение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оказалось более гибким, чем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межсессионные заседания рабочей группы, что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обеспечило создание подгруппы, сосредоточенной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внедрении Первоначальной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стратегии;</w:t>
      </w:r>
    </w:p>
    <w:p w:rsidR="00493D72" w:rsidRPr="00C26CDB" w:rsidRDefault="0088546E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согласился с привлечением Совета к работе над этим вопросом, а также с тем, что проблем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может быть рассмотрена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следующей сессии. Для орг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анизации последующей работы потребовалось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более подробное рассмотрение вопроса.</w:t>
      </w:r>
    </w:p>
    <w:p w:rsidR="00493D72" w:rsidRPr="00C26CDB" w:rsidRDefault="00571C54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проведение шестого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межсессионного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заседания рабочей группы по снижению выбросов ПГ с судов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ISWG-GHG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с 11 по 15 ноября 2019 г. </w:t>
      </w:r>
    </w:p>
    <w:p w:rsidR="00493D72" w:rsidRPr="00C26CDB" w:rsidRDefault="00493D72" w:rsidP="00493D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Эта рабочая группа по системам информации должна: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конкретные предложения по 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усовершенствованию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энергоэффективности существующих судов с целью разработки проекта поправок к главе 4 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и </w:t>
      </w:r>
      <w:r w:rsidR="00571C54">
        <w:rPr>
          <w:rFonts w:ascii="Times New Roman" w:eastAsia="Times New Roman" w:hAnsi="Times New Roman" w:cs="Times New Roman"/>
          <w:sz w:val="24"/>
          <w:szCs w:val="24"/>
          <w:lang w:bidi="ru-RU"/>
        </w:rPr>
        <w:t>сопутствующим руководствам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конкретные предложения по сокращению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метана и выбросов летучих органических соединений (ЛОС);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рассмотреть проект резолюции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КЗМС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побуждающий стран-участников разработ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ать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актуализировать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Национальн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ый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план добровольных действий (NAP), направленных на снижение выбросов ПГ со стороны международного судоходства, а также к разработке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сопутствующих руководств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7E30D5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далее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конкретные предложения по поощрению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альтернативного низкоуглеродного или безуглеродного топлива, включая разработку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жизненному циклу ПГ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интенсивности выброса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углерода для всех применимых типов топлива и схем поощрения;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конкретные предложения по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усовершенствованию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энергоэффективности существующих судов с целью разработки проекта поправок к главе 4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и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сопутствующих руководств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Четвертое исследование ИМО по ПГ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последующих действий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стратегии до 2023 г. 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определила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на этой сессии необходимо инициировать Четвертое исследование ИМО по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ГП для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рассмотрения доклада о ходе выполнения работ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75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(весн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2020 г.) и заключительного доклада на 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76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(осень</w:t>
      </w:r>
      <w:r w:rsidR="007E30D5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2020 г.).</w:t>
      </w:r>
    </w:p>
    <w:p w:rsidR="00493D72" w:rsidRPr="00C26CDB" w:rsidRDefault="007E30D5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запросил Секретариат инициировать Четвертое исследование ИМО по ПГ; сразу по завершени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сессии Секретариат выпустит циркуляр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ное письмо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приглашением на тендер по Четвертому исследованию ИМО по ПГ.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Резолюция </w:t>
      </w:r>
      <w:r w:rsidR="007E30D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КЗМС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 стимулированию </w:t>
      </w:r>
      <w:r w:rsidR="007E30D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сотрудничества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между портом и </w:t>
      </w:r>
      <w:r w:rsidR="007E30D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секторами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судоход</w:t>
      </w:r>
      <w:r w:rsidR="007E30D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ства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сокращению выбросов ПГ с судов</w:t>
      </w:r>
    </w:p>
    <w:p w:rsidR="00493D72" w:rsidRPr="00C26CDB" w:rsidRDefault="005A1E74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MEPC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резолюцию MEPC.323(74) о приглашении стран-участников к стимулированию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добровольного сотрудничества</w:t>
      </w:r>
      <w:r w:rsidR="00493D72" w:rsidRP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 портом и судоходной отраслью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части</w:t>
      </w:r>
      <w:r w:rsidR="00493D72" w:rsidRP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сокращени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493D72" w:rsidRP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выбросов ПГ с судов.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резолюции 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призывает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страны-участники 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ускорить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рассмотрени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приняти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портами в рамках их юрисдикции 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мер по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сокращени</w:t>
      </w:r>
      <w:r w:rsidR="005A1E74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выбросов ПГ с судов, включая: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ерегов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установк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электроснабжения (предпочтительно из возобновляемых источников); 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(b) безопасн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эффективн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бункеровку энергоэффективного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низким и нулевым содержанием углерода;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(c) поощрение 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перехода на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низкоуглеродно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безугле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родное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судоходств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(d) поддержка оптимизации </w:t>
      </w:r>
      <w:r w:rsidR="00622F3A">
        <w:rPr>
          <w:rFonts w:ascii="Times New Roman" w:eastAsia="Times New Roman" w:hAnsi="Times New Roman" w:cs="Times New Roman"/>
          <w:sz w:val="24"/>
          <w:szCs w:val="24"/>
          <w:lang w:bidi="ru-RU"/>
        </w:rPr>
        <w:t>заходов в порт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622F3A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Завершение процедуры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оценки влияния </w:t>
      </w:r>
      <w:r w:rsidRPr="0041548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государства-участники</w:t>
      </w:r>
    </w:p>
    <w:p w:rsidR="00493D72" w:rsidRPr="00C26CDB" w:rsidRDefault="00622F3A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Первоначальная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определила, что влияние меры на государства-участники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должно оцениваться и приниматься во внимание, как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соответствующее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до принятия меры и что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рограммой последующих действий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Первоначальной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стратегии до 2023 г. предусмотрено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завершение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процедуры оценки воздействия на страны в ходе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сессии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Особое внимание следует уделить потребностям развивающихся стран, особенно малых островных развивающихся государств (SIDS) и наименее развитых стран (LDCs). В соответствующих случаях следует проводить оценку и изучение непропорционально неблагоприятного воздействия.</w:t>
      </w:r>
    </w:p>
    <w:p w:rsidR="00493D72" w:rsidRPr="00C26CDB" w:rsidRDefault="00493D72" w:rsidP="00493D72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Последний </w:t>
      </w:r>
      <w:r w:rsidR="008F07F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одобренный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MEPC.1/Circ </w:t>
      </w:r>
      <w:r w:rsidR="008F07F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отношении П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роцедур</w:t>
      </w:r>
      <w:r w:rsidR="008F07F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оценки воздействий</w:t>
      </w:r>
    </w:p>
    <w:p w:rsidR="00493D72" w:rsidRPr="00C26CDB" w:rsidRDefault="00493D72" w:rsidP="00493D72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Процедура состоит из четырех этапов: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1: первоначальная оценка воздействия,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которая должна быть представлена в составе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первоначального предложения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потенциально возможных мер;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Этап 2: предоставление документа(ов) с комментариями, если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таковые имеются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Этап 3: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подробный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ответ, если требуется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комментирующим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</w:t>
      </w:r>
      <w:r w:rsidR="008F07FF">
        <w:rPr>
          <w:rFonts w:ascii="Times New Roman" w:eastAsia="Times New Roman" w:hAnsi="Times New Roman" w:cs="Times New Roman"/>
          <w:sz w:val="24"/>
          <w:szCs w:val="24"/>
          <w:lang w:bidi="ru-RU"/>
        </w:rPr>
        <w:t>ом(документами)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 и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Этап 4: комплексная оценка воздействия в соответствии с требованиями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MEPC.</w:t>
      </w:r>
    </w:p>
    <w:p w:rsidR="00493D72" w:rsidRPr="00C26CDB" w:rsidRDefault="00071B11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Длительность процедуры оценки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воздействия может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варьироваться от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одного до четырех заседаний в зависимости от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уровня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требуемой оценки и рассмотрения меры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омитетом по защите морской среды перед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Рассмотрение конкретных предложений о целесообразных </w:t>
      </w:r>
      <w:r w:rsidR="00071B11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краткосрочных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мерах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пленарного заседания было принято решение, что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все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меры будут рассмотрены на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пос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ледующих заседаниях,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краткосрочные меры будут приняты до 2023 г. в целях достижения результатов к 2030 г.,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меры должны быть практически осуществимыми, реализуемыми и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подтверждаемыми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необходимости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будут соответствовать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МАРПОЛ. </w:t>
      </w:r>
    </w:p>
    <w:p w:rsidR="00493D72" w:rsidRPr="00C26CDB" w:rsidRDefault="00493D72" w:rsidP="00493D72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Меры также должны быть сбалансированными и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по 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воему характеру</w:t>
      </w:r>
      <w:r w:rsidR="00071B11" w:rsidRP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глобальными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что обеспечит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единые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условия для всех.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также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чено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предложенные меры должны быть целе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выми и должны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включать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обеспечению энергоэффективности существующих судов, оптимизации и снижению скорости, использованию альтернативн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ых видов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и реализации национальных планов действи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071B11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 отмечена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взаимосвязь некоторых процессов, напр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имер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усиление схем управления энергоэффективностью судна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SEEMP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разработка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вых правил для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существующих судов и идентификация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применимых показателей эксплуатационной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энергоэффективности. 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был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отмечен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потребность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дальнейшей оптимизации и консолидации для организации </w:t>
      </w:r>
      <w:r w:rsidR="00071B11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последующей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разработки целесообразных мер параллельно с изучением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воздействия на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государства-участники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Выявлены многочисленные взаимосвязи между:</w:t>
      </w:r>
    </w:p>
    <w:p w:rsidR="00493D72" w:rsidRPr="00C26CDB" w:rsidRDefault="00493D72" w:rsidP="00194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подходом 1 (повышение энергоэффективности существующих судов, строящейся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основе ККЭЭ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подходом 3 (повышение энергоэффективности существующих судов, строящейся на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основе </w:t>
      </w:r>
      <w:r w:rsidR="00194F04" w:rsidRP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Схем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194F04" w:rsidRP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управления энергоэффективностью судна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194F0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SEEMP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подходом 4 (определение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применимых показателей эксплуатационной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энергоэффективности) и подходом 5 (разработка механизма оптимизации и снижения скорости);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подходом 6 (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нормативных мер по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>сокращению выбросов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метана) и подходом 7 (разработка нормативных мер по сокращению выбросов летучих органических соединений (ЛОС))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подходом 10 (инициирование и поддержка научных исследований и разработок), подходом 11 (разработка схем поощрения первопроходцев), подходом 12 (разработка </w:t>
      </w:r>
      <w:r w:rsid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  по жизненному циклу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ПГ/</w:t>
      </w:r>
      <w:r w:rsidR="00194F04" w:rsidRPr="00194F0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94F04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выбросам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углерода для всех типов топлива) и подходом 13 (реализация программы эффективного использования альтернативного низкоуглеродного и безуглеродного топлива).</w:t>
      </w:r>
    </w:p>
    <w:p w:rsidR="00493D72" w:rsidRPr="00C26CDB" w:rsidRDefault="00194F04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ключение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наблюдателя МАКО, подчеркивающее необходимость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инициатора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рассмотреть аспекты внедрения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целесообразной меры. МАКО подчеркнула, что без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первичного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рассмотрения способов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целесообразных мер существует риск нереализации полного потенциала меры по сокращению выбросов ПГ. 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Под «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внедрением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МАКО подразумевает действия,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которые должны осуществляться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судовладельцами и экипажами судов,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подтверждение внедрения,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проводимые Администрациями или признанными организациями, действующими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основании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поручени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приведение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исполнение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государствами флага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 порта.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подчеркнуть, что особое внимание уделяется мерам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существующих судов. Суда эксплуатируются в течение нескольких десятков лет, а следовательно, существующие на сегодняшний день суда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, скорее всего, останутся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на рынке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 2030 г. Следовательно до 2030 г. эффект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замены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всего флота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новыми судами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весьма ограничен. </w:t>
      </w:r>
    </w:p>
    <w:p w:rsidR="00493D72" w:rsidRDefault="00493D72" w:rsidP="00493D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Более того,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поскольку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большинство существующих судов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данный момент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не по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падают под действие требования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ККЭЭ/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EEDI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суда,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построенные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до вступления ККЭЭ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силу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будет 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иметься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большое количество судов, к которым до 2030 г. не буд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ут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имы  обязательны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е требовани</w:t>
      </w:r>
      <w:r w:rsidR="00D65B11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энергоэффективности.</w:t>
      </w:r>
    </w:p>
    <w:p w:rsidR="0041548E" w:rsidRDefault="0041548E" w:rsidP="00493D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1548E" w:rsidRPr="00C26CDB" w:rsidRDefault="0041548E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Рассмотрение конкретных предложений о </w:t>
      </w:r>
      <w:r w:rsidR="00D65B11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целесообразных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средне-/долгосрочных мерах</w:t>
      </w:r>
    </w:p>
    <w:p w:rsidR="00493D72" w:rsidRPr="00C26CDB" w:rsidRDefault="00D65B11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5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ISWG-GHG 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конкретные предложения по целесообразным мерам и обеспечил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сопоставление данных в отношении целесообразных средне-/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долгосрочных мерах,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сосредоточенны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х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альтернативного низкоуглеродного или безуглеродного топлива.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подчеркнули необходимость начала работ с целесообразными средне- и долгосрочными мерами до 2023 г. с упором на </w:t>
      </w:r>
      <w:r w:rsidR="00D406B2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альтернативного низкоуглеродного и безуглеродного топлива, а также то, что Группа должна </w:t>
      </w:r>
      <w:r w:rsidR="00D406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иметь открытую установку в отношении применимых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вариантов политики.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D406B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Дальнейшая</w:t>
      </w: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работа</w:t>
      </w:r>
      <w:r w:rsidR="00D406B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вытекающая из Плана действий </w:t>
      </w: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 отношении </w:t>
      </w:r>
      <w:r w:rsidR="00D406B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морского пластмассового мусора с судов </w:t>
      </w:r>
    </w:p>
    <w:p w:rsidR="00493D72" w:rsidRPr="00C26CDB" w:rsidRDefault="00D406B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73 сессия 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лан действий в отношении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морского пластмассового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мусора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 судов (резолюция MEPC.310(73))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лан действий) и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меры,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лане действий, будут пересмотрены 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на основ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 предложений о последующих действиях. Основываясь на этом анализе КЗМС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даст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Подкомитету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или другим подкомитетам указания, сообразно обстоятельства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по выполнению только тех действий, для которых был тщательно разработан объем работ.</w:t>
      </w:r>
    </w:p>
    <w:p w:rsidR="00493D72" w:rsidRPr="00C26CDB" w:rsidRDefault="00D406B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создала Корреспондентскую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группу по работе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морским пластмассовым мусором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судов и дал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ей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следующие указания: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определить вопросы, </w:t>
      </w:r>
      <w:r w:rsidR="00D406B2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которые должны быть рассмотрены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рамках исследования ИМО, в части </w:t>
      </w:r>
      <w:r w:rsidR="00D406B2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морского пластмассового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определить наиболее </w:t>
      </w:r>
      <w:r w:rsidR="00D406B2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приемлемый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механизм проведения исследования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матрицу нормативной базы, определяющую все международные нормативные инструменты и передовые практики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, связанные с вопросом морского пластмассового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судов.</w:t>
      </w:r>
    </w:p>
    <w:p w:rsidR="00493D72" w:rsidRPr="00C26CDB" w:rsidRDefault="0075105E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Планом действий меры подразделяются на  следующие категории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действия, которые могут быть выполнены соответствующими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одкомитетами сейчас и которые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могут рассматриваться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как краткосрочные;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действия, которые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могут зависеть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 результатов исследования ИМО в отношении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морского пластмассового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других соответствующих исследований,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ориентированных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последующее развитие, которые определяются как среднесрочные, и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действия,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ют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конкретных предложений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74 сессии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MEPC,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ориентированных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последующее развитие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следовательно, определяемые как долгосрочные.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 ходе рассмотрения действий пунктов 10 и 11 плана действий, относящихся к обязательной отчетности о контейнерах, затерянных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в океане, и способах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передачи информации о их местонахождении, комитет по защите морской среды обсудил варианты их дальнейшего развития. 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ЗМС поп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росил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одкомитет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по перевозке грузов и контейнеров/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CCC и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по </w:t>
      </w:r>
      <w:r w:rsidR="0075105E" w:rsidRPr="0075105E">
        <w:rPr>
          <w:rFonts w:ascii="Times New Roman" w:hAnsi="Times New Roman" w:cs="Times New Roman"/>
          <w:sz w:val="24"/>
          <w:szCs w:val="24"/>
        </w:rPr>
        <w:t>мореплаванию, связи, поиску и спасанию</w:t>
      </w:r>
      <w:r w:rsidR="0075105E">
        <w:rPr>
          <w:rFonts w:ascii="Times New Roman" w:hAnsi="Times New Roman" w:cs="Times New Roman"/>
          <w:sz w:val="24"/>
          <w:szCs w:val="24"/>
        </w:rPr>
        <w:t>/</w:t>
      </w:r>
      <w:r w:rsidRP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NCSR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изучении вопроса </w:t>
      </w:r>
      <w:r w:rsidR="0075105E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морского пластмассового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 отметить важность проблемы</w:t>
      </w:r>
      <w:r w:rsidR="00D34A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утерянных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море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контейнер</w:t>
      </w:r>
      <w:r w:rsidR="00D34AE4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Многие делегаты поддержали разработку стратегии ИМО, направленн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изучение вопроса 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пластмассов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судов, с целью 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руководства, мониторинга 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надзора за 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внедрением 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лана действий. </w:t>
      </w:r>
    </w:p>
    <w:p w:rsidR="00493D72" w:rsidRDefault="00493D72" w:rsidP="00493D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Стратегия должна быть прагматичной и достижимой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; 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на может быть представлена в виде сводного документа, отражающего предпосылки, цели, схематический график и таблицу классификации кратко-, средне- и долгосрочных действий.</w:t>
      </w:r>
    </w:p>
    <w:p w:rsidR="0041548E" w:rsidRPr="00C26CDB" w:rsidRDefault="0041548E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Разработка проекта </w:t>
      </w:r>
      <w:r w:rsidR="006967C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технического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задания для исследования ИМО по </w:t>
      </w:r>
      <w:r w:rsidR="006967C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морскому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пластмассов</w:t>
      </w:r>
      <w:r w:rsidR="006967C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ому мусору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 судов</w:t>
      </w:r>
    </w:p>
    <w:p w:rsidR="00493D72" w:rsidRPr="00C26CDB" w:rsidRDefault="006967C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утвердил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задания для исследования ИМО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морскому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пластмассов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ому мусору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Объединенн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экспертов по научным аспектам загрязнения морской среды (GESAMP) </w:t>
      </w:r>
      <w:r w:rsidR="006967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недавно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создана  Рабочая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группу по источникам морского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пластмассового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мусора (GESAMP WG 43) при поддержке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Всемирной организации по продовольствию/</w:t>
      </w:r>
      <w:r w:rsidR="001A7E87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FAO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ИМО, общей целью котор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является обеспечение более широкого понима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ния источников морского 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частности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63718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отраслях судоходства и рыболовства.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Default="00493D72" w:rsidP="00493D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признал, что </w:t>
      </w:r>
      <w:r w:rsidR="001A7E87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информация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о деятельности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Рабочей группы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GESAMP WG 43 будет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доведена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до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некоторы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х участников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будущего исследования ИМО по 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морскому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пластмассов</w:t>
      </w:r>
      <w:r w:rsidR="001A7E8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ому мусору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 судов.</w:t>
      </w:r>
    </w:p>
    <w:p w:rsidR="001A7E87" w:rsidRPr="00C26CDB" w:rsidRDefault="001A7E8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Предотвращение загрязнени</w:t>
      </w:r>
      <w:r w:rsidR="001A7E8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реагирование</w:t>
      </w:r>
    </w:p>
    <w:p w:rsidR="00493D72" w:rsidRPr="00C26CDB" w:rsidRDefault="001A7E8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93D72" w:rsidRPr="00C26CDB" w:rsidRDefault="00EF1CC4" w:rsidP="0049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оценку продукции, выполненную </w:t>
      </w:r>
      <w:r w:rsidR="00493D72" w:rsidRP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ESPH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ее соответственное включение в перечни 1, 2, 3 и 5 MEPC.2/Circ.24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выпущен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декабря 2018 г.)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чистящих присадок, выполненную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ESPH 24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отметила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включение в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 к MEPC.2/Circ.24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продуктов и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чистящих присадок, выполненную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абочей группой ESPH на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Подкомитета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6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их включение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соответственно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1, 3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 10 следующ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версию циркуляра MEPC.2 (т.е. MEPC.2.Circ.25), </w:t>
      </w:r>
      <w:r w:rsidR="00EF1CC4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который будет выпущен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декабре 2019 г.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циркуляра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MEPC.2 в отношении парафиноподобных продуктов</w:t>
      </w:r>
    </w:p>
    <w:p w:rsidR="00493D72" w:rsidRPr="00C26CDB" w:rsidRDefault="00EF1CC4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MEPC.1/Circ.885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 по внедрению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предварительной категоризации жидких веществ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МАРПОЛ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IBC в отношении парафиноподобных продуктов.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Перевозка биотопливных смесей и грузов </w:t>
      </w:r>
      <w:r w:rsidR="00612DC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соответствии с Приложением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 к </w:t>
      </w:r>
      <w:r w:rsidR="00612DC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онвенции МАРПОЛ</w:t>
      </w:r>
    </w:p>
    <w:p w:rsidR="00493D72" w:rsidRPr="00C26CDB" w:rsidRDefault="00612DCC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внести последующие поправки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 перевозке смесей нефтепродуктов и биотоплив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поправками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(MEPC.1/Circ.761/Rev.1) в результате включения нового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12 (Высокоэнергетические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виды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согласно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 к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МАРПОЛ) в MEPC.2</w:t>
      </w:r>
      <w:r w:rsidR="003578E7" w:rsidRP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|</w:t>
      </w:r>
      <w:r w:rsidR="003578E7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Circular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включил ссылку на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VI/5.2 </w:t>
      </w:r>
      <w:r w:rsidR="003578E7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запрете смешивания наливных жидких грузов и производственных процессов в ходе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морских рейсов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3578E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Как следствие, 74 сессия 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условии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последующего одобрения на 101 сессии КБМ, проект циркуляра MSC-MEPC.2 к Руководству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 п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перевозке смесей биотоплив и грузов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Приложением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Предварительная оценка жидких веществ, </w:t>
      </w:r>
      <w:r w:rsidR="003578E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перевозимых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наливом</w:t>
      </w:r>
    </w:p>
    <w:p w:rsidR="00493D72" w:rsidRPr="00C26CDB" w:rsidRDefault="003578E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одобрила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пересмотренн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 по пре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дварительной оценке жидких веществ,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перевозимых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наливом, котор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выпущен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 в виде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MEPC.1/Circ.512/Rev.1.</w:t>
      </w:r>
    </w:p>
    <w:p w:rsidR="00493D72" w:rsidRPr="00C26CDB" w:rsidRDefault="003578E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включает в себя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поправки, отражающие изменение глав 17, 18, 19 и 21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IBC, а также нов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ый раздел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9.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Категоризация и классификация продукции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окончательного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пересмотренных глав 17, 18, 19 и 21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одекса IBC, которые были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одобрены на 73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MEPC,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 подготовил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Решениям в отношении категоризации и классификации продукции (BLG.1/Circ.33), распространяющиеся на все соответствующие решения, принятые до настоящего момента, в отношении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назначения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требований к перевозке в </w:t>
      </w:r>
      <w:r w:rsidR="003578E7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соответствии с положениями 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IBC.</w:t>
      </w:r>
    </w:p>
    <w:p w:rsidR="00493D72" w:rsidRPr="00C26CDB" w:rsidRDefault="003578E7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при условии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последующего одобрения на 101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MSC,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актуализированные Р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ешения в отношении категоризации и классификации продукции, которые будут выпущены в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PPR.1/Circ.7.</w:t>
      </w:r>
    </w:p>
    <w:p w:rsidR="00493D72" w:rsidRPr="00C26CDB" w:rsidRDefault="00493D72" w:rsidP="00493D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поправок к </w:t>
      </w:r>
      <w:r w:rsidR="00530B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онвенции AFS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ab/>
      </w:r>
    </w:p>
    <w:p w:rsidR="00493D72" w:rsidRPr="00C26CDB" w:rsidRDefault="00530BEE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следующий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AFS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одобрения на 74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и последующего принятия: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проект поправок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(Меры контроля за противообрастающими системами)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 AFS для включения мер контроля за сайбутрином,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поправок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AFS (образец формы Международного свидетельства о противообрастающей системе (IAFSC)).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530BEE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рассмотрение 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были представлены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изменения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AFS, в частности, исключение проекта положений, касающихся удаления или герметизации противообрастающих систем с содержанием сайбутрина. </w:t>
      </w:r>
      <w:r w:rsidR="00493D72" w:rsidRP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Ретроспективные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требования к обязательной пескоструйной очистке или герметичным покрытиям для всех судов, примен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вших противообрастающую систему в прошлом, требуют дальнейшего тщательного рассмотрения.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делегации предположили, что исключение положений, требующих удаления или герметизации существующих противообрастающих систем с содержанием сайбутрина, противоречит статье 4(2)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AFS.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="00530BEE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обсудить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AFS на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сессии Подкомитета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для дальнейшего рассмотрения, включая изучение возможных противоречий между предлагаемыми поправками к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и статьей 4(2)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онвенции AFS, а также для доклада 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на 75 сессии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этому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актуальн</w:t>
      </w:r>
      <w:r w:rsidR="00530BEE">
        <w:rPr>
          <w:rFonts w:ascii="Times New Roman" w:eastAsia="Times New Roman" w:hAnsi="Times New Roman" w:cs="Times New Roman"/>
          <w:sz w:val="24"/>
          <w:szCs w:val="24"/>
          <w:lang w:bidi="ru-RU"/>
        </w:rPr>
        <w:t>ому вопросу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B4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мер</w:t>
      </w:r>
      <w:r w:rsidR="00D96B4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снижени</w:t>
      </w:r>
      <w:r w:rsidR="00D96B4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ю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рисков использования и перевозки тяжелого топлива в </w:t>
      </w:r>
      <w:r w:rsidR="00D96B4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рктических водах</w:t>
      </w:r>
    </w:p>
    <w:p w:rsidR="00493D72" w:rsidRPr="00C26CDB" w:rsidRDefault="00D96B4D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анализа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влияния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запрета на использование и перевозку тяжелого топлива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борту судов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рктических водах с целью последующего принятия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резолюции MEPC в ходе следующей сессии.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Другие вопросы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делегации отметили, что тенденции </w:t>
      </w:r>
      <w:r w:rsidR="00D96B4D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государствами местных или региональных ограничений или запрещающих мер вызывают все большее беспокойство, особенно при отсутствии научно</w:t>
      </w:r>
      <w:r w:rsidR="00D96B4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обоснованной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информации </w:t>
      </w:r>
      <w:r w:rsidR="00D96B4D">
        <w:rPr>
          <w:rFonts w:ascii="Times New Roman" w:eastAsia="Times New Roman" w:hAnsi="Times New Roman" w:cs="Times New Roman"/>
          <w:sz w:val="24"/>
          <w:szCs w:val="24"/>
          <w:lang w:bidi="ru-RU"/>
        </w:rPr>
        <w:t>или их правомерности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D96B4D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Государства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, рассматривающие возможность введения местных правил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вначале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самостоятельно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провести оценку воздействия, а ИМО должна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дать рекомендации или поддержать такую деятельность путем разработки руководства.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493D72" w:rsidRPr="00C26CDB" w:rsidRDefault="00D96B4D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образом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имеется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потребность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проведении дополнительных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научных исследовани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обеспечения большей ясности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содействия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понимании воздействий, оказываемых на морскую среду при сбросе промывочных вод</w:t>
      </w:r>
      <w:r w:rsidR="00FC15BC" w:rsidRP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C15BC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EGCS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FC15BC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74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целом одобрила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новый документ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«Оценке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гармонизации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соответствие правил и руководств по сбросу жидких отходов с EGCS в воду, включая условия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морские районы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» в повестку дня проводимо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каждые два года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сессии Подкомитета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2020-2021 гг., а также в предварительную повестку дня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сессии Подкомитета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PPR, предполагаемый год завершения - 2021 г.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напомнить, что </w:t>
      </w:r>
      <w:r w:rsid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MEPC поручил</w:t>
      </w:r>
      <w:r w:rsid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6 сессии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PPR, наряду с получением консультаций от GESAMP, рассмотреть мнение, что преимущества окружающей среды от уменьшения загрязнения воздуха не </w:t>
      </w:r>
      <w:r w:rsid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>сократятся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случае, </w:t>
      </w:r>
      <w:r w:rsid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>если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сброс промывочной воды EGCS </w:t>
      </w:r>
      <w:r w:rsidR="00FC15BC">
        <w:rPr>
          <w:rFonts w:ascii="Times New Roman" w:eastAsia="Times New Roman" w:hAnsi="Times New Roman" w:cs="Times New Roman"/>
          <w:sz w:val="24"/>
          <w:szCs w:val="24"/>
          <w:lang w:bidi="ru-RU"/>
        </w:rPr>
        <w:t>будет представлять собой дополнительные риски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FC15BC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попросил Секретариат изучить возможности GESAMP по изучению научной литературы и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наблюдению за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модел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воздействия на окружающую среду сброса промывочной воды с EGCS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целью актуализации на 7 сессии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PPR. 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запросу MEPC GESAMP может создать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целевую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группу для оценки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имеющегося свидетельства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воздействия на окружающую среду сброса выхлопного газа и стоков систем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очистки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создания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целевой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группы следует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определить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соответствующих экспертов и обеспечить достаточное внешнее финансирование.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D6A7A" w:rsidP="00493D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Корреспондентская </w:t>
      </w:r>
      <w:r w:rsidR="00493D72" w:rsidRPr="00C26C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группа, созданная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на 74 сессии MEPC7</w:t>
      </w:r>
    </w:p>
    <w:p w:rsidR="00493D72" w:rsidRPr="00C26CDB" w:rsidRDefault="00493D72" w:rsidP="00493D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72" w:rsidRPr="004D6A7A" w:rsidRDefault="004D6A7A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Корреспондентская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группа по сбору данных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анализа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правилом 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</w:t>
      </w:r>
      <w:r w:rsidR="00493D7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4D6A7A" w:rsidRDefault="004D6A7A" w:rsidP="00493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Сфера компетенции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изучение отчет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ных документ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ов по дополнительным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вопросам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ГИСИС;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дальнейшая оптимизация применимости, если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целесообразно и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применимо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D6A7A" w:rsidP="00493D72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Корреспондентская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 xml:space="preserve">группа по возможному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 xml:space="preserve">введению </w:t>
      </w:r>
      <w:r w:rsidR="00493D72" w:rsidRPr="00C26CD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>этапа 4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 w:bidi="ru-RU"/>
        </w:rPr>
        <w:t>EEDI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>/ККЭЭ</w:t>
      </w:r>
      <w:r w:rsidR="00493D72" w:rsidRPr="00C26CD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bidi="ru-RU"/>
        </w:rPr>
        <w:t>.</w:t>
      </w:r>
    </w:p>
    <w:p w:rsidR="00493D72" w:rsidRPr="00C26CDB" w:rsidRDefault="004D6A7A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Сфера компетенции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рассмотрение, сопоставление и анализ информации и данных для возможного введения этапа 4</w:t>
      </w:r>
      <w:r w:rsidR="004D6A7A" w:rsidRP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D6A7A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EEDI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использование вышеуказанных данных и информации, рассмотрение статуса технологического развития в целях повышения энергоэффективности положений EEDI в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соответствии с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глав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Приложения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к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онвенции МАРПОЛ и возможное введение этапа 4</w:t>
      </w:r>
      <w:r w:rsidR="004D6A7A" w:rsidRP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D6A7A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EEDI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изучение того, как возможное введение этапа 4 </w:t>
      </w:r>
      <w:r w:rsidR="004D6A7A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EEDI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может повлиять на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Первоначальную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стратегию ИМО по сокращению выбросов ПГ с судов (резолюция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MEPC.304(72)), принимая во внимание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рограмму последующих действий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Первоначальной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стратегии ИМО по сокращению выбросов ПГ с судов до 2023 г.,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одобренную на 73 сессии MEPC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дальнейшее рассмотрение возможного введения EEDI этапа 4, принимая во внимание мнения, высказанные на </w:t>
      </w:r>
      <w:r w:rsidR="004D6A7A"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сессии MEPC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72" w:rsidRPr="00C26CDB" w:rsidRDefault="00493D72" w:rsidP="00493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D72" w:rsidRPr="00C26CDB" w:rsidRDefault="004D6A7A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Корреспондентская</w:t>
      </w:r>
      <w:r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группа по разработке стратегии </w:t>
      </w:r>
      <w:r w:rsidR="003600A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решения проблемы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пластмассов</w:t>
      </w:r>
      <w:r w:rsidR="003600A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ого мусора</w:t>
      </w:r>
      <w:r w:rsidR="00493D72" w:rsidRPr="00C26CD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 судов</w:t>
      </w:r>
    </w:p>
    <w:p w:rsidR="00493D72" w:rsidRPr="00C26CDB" w:rsidRDefault="003600A0" w:rsidP="00493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Сфера компетенции</w:t>
      </w:r>
      <w:r w:rsidR="00493D72"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93D72" w:rsidRPr="00C26CDB" w:rsidRDefault="00493D72" w:rsidP="00493D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окончательн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ая разработка 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роекта 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тратегии р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ешения проблемы 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пластмассов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ого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мусора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 и использование 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лана действий в </w:t>
      </w:r>
      <w:r w:rsidR="003600A0">
        <w:rPr>
          <w:rFonts w:ascii="Times New Roman" w:eastAsia="Times New Roman" w:hAnsi="Times New Roman" w:cs="Times New Roman"/>
          <w:sz w:val="24"/>
          <w:szCs w:val="24"/>
          <w:lang w:bidi="ru-RU"/>
        </w:rPr>
        <w:t>качестве основы для такой деятельности</w:t>
      </w:r>
      <w:r w:rsidRPr="00C26C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D6BFF" w:rsidRDefault="00BD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D72" w:rsidRPr="00C26CDB" w:rsidRDefault="00493D72" w:rsidP="00493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26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Типы судов и этапы</w:t>
      </w:r>
    </w:p>
    <w:p w:rsidR="00493D72" w:rsidRPr="00C26CDB" w:rsidRDefault="00493D72" w:rsidP="00493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417"/>
        <w:gridCol w:w="1418"/>
        <w:gridCol w:w="1417"/>
        <w:gridCol w:w="1559"/>
      </w:tblGrid>
      <w:tr w:rsidR="00493D72" w:rsidRPr="0041548E" w:rsidTr="003600A0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Тип судна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Размер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1548E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Этап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1 января 2015</w:t>
            </w:r>
            <w:r w:rsidR="00493D72"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г.</w:t>
            </w:r>
            <w:r w:rsidR="00493D72"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–</w:t>
            </w:r>
            <w:r w:rsidR="00493D72"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31 декабря 2019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93D72" w:rsidP="004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Этап 2</w:t>
            </w: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1 января 2020г.</w:t>
            </w: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–</w:t>
            </w: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br/>
              <w:t>31 декабря 2024 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93D72" w:rsidP="00986AC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Этап 3</w:t>
            </w:r>
          </w:p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 января 2022г.</w:t>
            </w:r>
          </w:p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 далее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41548E" w:rsidRDefault="00493D72" w:rsidP="00986ACB">
            <w:pPr>
              <w:spacing w:after="0" w:line="240" w:lineRule="auto"/>
              <w:ind w:left="720" w:hanging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Этап 3</w:t>
            </w:r>
          </w:p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 января 2025 г.</w:t>
            </w:r>
          </w:p>
          <w:p w:rsidR="00493D72" w:rsidRPr="0041548E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48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 далее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Навалочное судно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6A950" wp14:editId="3A8A2E57">
                  <wp:extent cx="9525" cy="9525"/>
                  <wp:effectExtent l="0" t="0" r="0" b="0"/>
                  <wp:docPr id="28" name="Рисунок 28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10 000 и выше, но менее 20 000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095FF" wp14:editId="1727420A">
                  <wp:extent cx="9525" cy="9525"/>
                  <wp:effectExtent l="0" t="0" r="0" b="0"/>
                  <wp:docPr id="27" name="Рисунок 27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Газовоз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D2A69" wp14:editId="71F0E17F">
                  <wp:extent cx="9525" cy="9525"/>
                  <wp:effectExtent l="0" t="0" r="0" b="0"/>
                  <wp:docPr id="26" name="Рисунок 26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10 000 и выше, но менее 15 000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7BFCB" wp14:editId="6155B5EC">
                  <wp:extent cx="9525" cy="9525"/>
                  <wp:effectExtent l="0" t="0" r="0" b="0"/>
                  <wp:docPr id="25" name="Рисунок 25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2 000 и выше, но менее 10 000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0FD25" wp14:editId="626C492F">
                  <wp:extent cx="9525" cy="9525"/>
                  <wp:effectExtent l="0" t="0" r="0" b="0"/>
                  <wp:docPr id="24" name="Рисунок 24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Танкер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07A9F" wp14:editId="17AD0AD8">
                  <wp:extent cx="9525" cy="9525"/>
                  <wp:effectExtent l="0" t="0" r="0" b="0"/>
                  <wp:docPr id="23" name="Рисунок 23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5B54B" wp14:editId="7888DA41">
                  <wp:extent cx="9525" cy="9525"/>
                  <wp:effectExtent l="0" t="0" r="0" b="0"/>
                  <wp:docPr id="22" name="Рисунок 22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4 000 и выше, но менее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20 000 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9F1EA" wp14:editId="2532730E">
                  <wp:extent cx="9525" cy="9525"/>
                  <wp:effectExtent l="0" t="0" r="0" b="0"/>
                  <wp:docPr id="21" name="Рисунок 21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Контейнеровоз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499C9" wp14:editId="633C6240">
                  <wp:extent cx="9525" cy="9525"/>
                  <wp:effectExtent l="0" t="0" r="0" b="0"/>
                  <wp:docPr id="20" name="Рисунок 20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120 000 и выше, но менее 200 000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20DDD" wp14:editId="642A9E3E">
                  <wp:extent cx="9525" cy="9525"/>
                  <wp:effectExtent l="0" t="0" r="0" b="0"/>
                  <wp:docPr id="19" name="Рисунок 19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80 000 и выше, но менее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120 000 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58AE3" wp14:editId="39AE028D">
                  <wp:extent cx="9525" cy="9525"/>
                  <wp:effectExtent l="0" t="0" r="0" b="0"/>
                  <wp:docPr id="18" name="Рисунок 18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40 000 и выше, но менее 80 000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4BE20" wp14:editId="421EC8D6">
                  <wp:extent cx="9525" cy="9525"/>
                  <wp:effectExtent l="0" t="0" r="0" b="0"/>
                  <wp:docPr id="17" name="Рисунок 17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15 000 и выше, но менее 40 000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B9335" wp14:editId="011B2D74">
                  <wp:extent cx="9525" cy="9525"/>
                  <wp:effectExtent l="0" t="0" r="0" b="0"/>
                  <wp:docPr id="16" name="Рисунок 16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624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10 000 и выше, но менее 15 000 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15-30*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B5C6A" wp14:editId="6B04F47F">
                  <wp:extent cx="9525" cy="9525"/>
                  <wp:effectExtent l="0" t="0" r="0" b="0"/>
                  <wp:docPr id="15" name="Рисунок 15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3600A0" w:rsidP="0036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Судно генерального груза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49500" wp14:editId="6E74EF99">
                  <wp:extent cx="9525" cy="9525"/>
                  <wp:effectExtent l="0" t="0" r="0" b="0"/>
                  <wp:docPr id="14" name="Рисунок 14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3 000 и выше, но менее 15 000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0-15*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8AF2E" wp14:editId="29052F16">
                  <wp:extent cx="9525" cy="9525"/>
                  <wp:effectExtent l="0" t="0" r="0" b="0"/>
                  <wp:docPr id="13" name="Рисунок 13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Рефрижератор</w:t>
            </w:r>
            <w:r w:rsidR="003600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ное судно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5000 ДВТ и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C1B62" wp14:editId="6AE367E0">
                  <wp:extent cx="9525" cy="9525"/>
                  <wp:effectExtent l="0" t="0" r="0" b="0"/>
                  <wp:docPr id="12" name="Рисунок 12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3 000 и выше, но менее 5 000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0-15*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4DE15" wp14:editId="0898A014">
                  <wp:extent cx="9525" cy="9525"/>
                  <wp:effectExtent l="0" t="0" r="0" b="0"/>
                  <wp:docPr id="11" name="Рисунок 11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Комбинированный грузовоз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1C793" wp14:editId="109247F8">
                  <wp:extent cx="9525" cy="9525"/>
                  <wp:effectExtent l="0" t="0" r="0" b="0"/>
                  <wp:docPr id="10" name="Рисунок 10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4 000 и выше, но менее 20 000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0-10*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FA858" wp14:editId="5D4A1B19">
                  <wp:extent cx="9525" cy="9525"/>
                  <wp:effectExtent l="0" t="0" r="0" b="0"/>
                  <wp:docPr id="9" name="Рисунок 9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Газовоз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СПГ***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E73D5" wp14:editId="02AEA5D9">
                  <wp:extent cx="9525" cy="9525"/>
                  <wp:effectExtent l="0" t="0" r="0" b="0"/>
                  <wp:docPr id="8" name="Рисунок 8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3600A0" w:rsidP="0036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Грузовое судно ро-ро (д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ля перевозки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редств)***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10 000 ДВТ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D25DE" wp14:editId="56425352">
                  <wp:extent cx="9525" cy="9525"/>
                  <wp:effectExtent l="0" t="0" r="0" b="0"/>
                  <wp:docPr id="7" name="Рисунок 7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3600A0" w:rsidP="0036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Грузовое судно ро-ро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***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2000 ДВТ и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35EED" wp14:editId="4FDD97A4">
                  <wp:extent cx="9525" cy="9525"/>
                  <wp:effectExtent l="0" t="0" r="0" b="0"/>
                  <wp:docPr id="6" name="Рисунок 6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1 000 и выше, но менее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2 000 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0-5*,**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F5DDA" wp14:editId="7F901D8D">
                  <wp:extent cx="9525" cy="9525"/>
                  <wp:effectExtent l="0" t="0" r="0" b="0"/>
                  <wp:docPr id="5" name="Рисунок 5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3600A0" w:rsidP="0036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ассажирское судно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ро-ро</w:t>
            </w:r>
            <w:r w:rsidR="00493D72"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***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1000 ДВТ и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AB49E" wp14:editId="397FEEAF">
                  <wp:extent cx="9525" cy="9525"/>
                  <wp:effectExtent l="0" t="0" r="0" b="0"/>
                  <wp:docPr id="4" name="Рисунок 4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250 и выше, но менее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1 000 ДВТ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0-5*,**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48EE1" wp14:editId="701A4FBC">
                  <wp:extent cx="9525" cy="9525"/>
                  <wp:effectExtent l="0" t="0" r="0" b="0"/>
                  <wp:docPr id="3" name="Рисунок 3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</w:tr>
      <w:tr w:rsidR="00493D72" w:rsidRPr="00C26CDB" w:rsidTr="003600A0">
        <w:trPr>
          <w:trHeight w:val="799"/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36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Круизное пассажирское судно*** с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не</w:t>
            </w:r>
            <w:r w:rsidR="003600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конвенцион-ной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двигательной установкой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85 000 ГТ</w:t>
            </w: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1E532" wp14:editId="7872796A">
                  <wp:extent cx="9525" cy="9525"/>
                  <wp:effectExtent l="0" t="0" r="0" b="0"/>
                  <wp:docPr id="2" name="Рисунок 2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2" w:rsidRPr="00C26CDB" w:rsidTr="003600A0">
        <w:trPr>
          <w:trHeight w:val="283"/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25 000 и выше, но менее 85 000 ГТ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0-5*,**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0-20*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0-30*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72" w:rsidRPr="00C26CDB" w:rsidRDefault="00493D72" w:rsidP="0098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8D7EF" wp14:editId="1A70D28E">
                  <wp:extent cx="9525" cy="9525"/>
                  <wp:effectExtent l="0" t="0" r="0" b="0"/>
                  <wp:docPr id="1" name="Рисунок 1" descr="https://www1.veristar.com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1.veristar.com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72" w:rsidRPr="00C26CDB" w:rsidRDefault="00493D72" w:rsidP="00493D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* Поправочный коэффициент должен быть линейно интерполирован между двумя значениями в зависимости от размера судна.</w:t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Меньшее значение поправочного коэффициента применяется к судну меньшего размера.</w:t>
      </w:r>
    </w:p>
    <w:p w:rsidR="00493D72" w:rsidRPr="00C26CDB" w:rsidRDefault="00493D72" w:rsidP="00493D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br/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** Этап 1 начинается для таких судов 1 сентября 2015 г.</w:t>
      </w:r>
    </w:p>
    <w:p w:rsidR="00493D72" w:rsidRPr="00C26CDB" w:rsidRDefault="00493D72" w:rsidP="00493D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*** Поправочный коэффициент применяется к судам, поставленным </w:t>
      </w:r>
      <w:r w:rsidR="00360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на </w:t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1 сентября 2019 г. </w:t>
      </w:r>
      <w:r w:rsidR="00360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или после этой даты, как указано в п. 43 правила</w:t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2.</w:t>
      </w:r>
    </w:p>
    <w:p w:rsidR="00493D72" w:rsidRPr="00C26CDB" w:rsidRDefault="00493D72" w:rsidP="00493D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26C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</w:p>
    <w:p w:rsidR="00B9575E" w:rsidRDefault="00B9575E"/>
    <w:sectPr w:rsidR="00B9575E" w:rsidSect="00986A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4AC5"/>
    <w:multiLevelType w:val="hybridMultilevel"/>
    <w:tmpl w:val="9A7865C8"/>
    <w:lvl w:ilvl="0" w:tplc="C2D4CE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2"/>
    <w:rsid w:val="000245C9"/>
    <w:rsid w:val="00044484"/>
    <w:rsid w:val="00054F81"/>
    <w:rsid w:val="00071B11"/>
    <w:rsid w:val="0008129F"/>
    <w:rsid w:val="000B778C"/>
    <w:rsid w:val="000E18A0"/>
    <w:rsid w:val="001201C0"/>
    <w:rsid w:val="001726A3"/>
    <w:rsid w:val="00194F04"/>
    <w:rsid w:val="001A7E87"/>
    <w:rsid w:val="0024733F"/>
    <w:rsid w:val="002B1ACF"/>
    <w:rsid w:val="002C1943"/>
    <w:rsid w:val="00303186"/>
    <w:rsid w:val="003578E7"/>
    <w:rsid w:val="003600A0"/>
    <w:rsid w:val="003A63DE"/>
    <w:rsid w:val="003F3971"/>
    <w:rsid w:val="0041548E"/>
    <w:rsid w:val="00443530"/>
    <w:rsid w:val="00493D72"/>
    <w:rsid w:val="004D6A7A"/>
    <w:rsid w:val="004E1960"/>
    <w:rsid w:val="004F0100"/>
    <w:rsid w:val="00530BEE"/>
    <w:rsid w:val="005507D5"/>
    <w:rsid w:val="005568C2"/>
    <w:rsid w:val="00563C49"/>
    <w:rsid w:val="00571C54"/>
    <w:rsid w:val="005875DA"/>
    <w:rsid w:val="005A1E74"/>
    <w:rsid w:val="005D0386"/>
    <w:rsid w:val="005D4393"/>
    <w:rsid w:val="006010EA"/>
    <w:rsid w:val="00612DCC"/>
    <w:rsid w:val="00622F3A"/>
    <w:rsid w:val="00684029"/>
    <w:rsid w:val="006967C7"/>
    <w:rsid w:val="0070706B"/>
    <w:rsid w:val="0075105E"/>
    <w:rsid w:val="007E30D5"/>
    <w:rsid w:val="00817B4F"/>
    <w:rsid w:val="00820950"/>
    <w:rsid w:val="0088546E"/>
    <w:rsid w:val="00895C85"/>
    <w:rsid w:val="008E6ADF"/>
    <w:rsid w:val="008F07FF"/>
    <w:rsid w:val="00951A1A"/>
    <w:rsid w:val="00986ACB"/>
    <w:rsid w:val="00A53D69"/>
    <w:rsid w:val="00AF61B2"/>
    <w:rsid w:val="00B02E65"/>
    <w:rsid w:val="00B840DD"/>
    <w:rsid w:val="00B9575E"/>
    <w:rsid w:val="00BD29BA"/>
    <w:rsid w:val="00BD6BFF"/>
    <w:rsid w:val="00C01A4D"/>
    <w:rsid w:val="00C17623"/>
    <w:rsid w:val="00C42C19"/>
    <w:rsid w:val="00C45899"/>
    <w:rsid w:val="00CB7DF7"/>
    <w:rsid w:val="00D34AE4"/>
    <w:rsid w:val="00D406B2"/>
    <w:rsid w:val="00D65B11"/>
    <w:rsid w:val="00D96B4D"/>
    <w:rsid w:val="00DF6BBF"/>
    <w:rsid w:val="00E01D42"/>
    <w:rsid w:val="00EF1CC4"/>
    <w:rsid w:val="00F47504"/>
    <w:rsid w:val="00F77FAD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8F42-ECBE-417A-A264-0B99638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ics-shipping.org/free-resources/2020-sulphur-compli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Марина Юрьевна</dc:creator>
  <cp:keywords/>
  <dc:description/>
  <cp:lastModifiedBy>Рождественская Мария Кирилловна</cp:lastModifiedBy>
  <cp:revision>2</cp:revision>
  <dcterms:created xsi:type="dcterms:W3CDTF">2019-07-02T11:15:00Z</dcterms:created>
  <dcterms:modified xsi:type="dcterms:W3CDTF">2019-07-02T11:15:00Z</dcterms:modified>
</cp:coreProperties>
</file>