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5"/>
        <w:gridCol w:w="2275"/>
        <w:gridCol w:w="430"/>
        <w:gridCol w:w="2390"/>
        <w:gridCol w:w="993"/>
        <w:gridCol w:w="994"/>
        <w:gridCol w:w="998"/>
        <w:gridCol w:w="2001"/>
      </w:tblGrid>
      <w:tr w:rsidR="00A73ADF" w:rsidRPr="004D74C4" w:rsidTr="0099129A">
        <w:trPr>
          <w:cantSplit/>
          <w:trHeight w:val="40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</w:tcBorders>
          </w:tcPr>
          <w:tbl>
            <w:tblPr>
              <w:tblW w:w="107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3"/>
            </w:tblGrid>
            <w:tr w:rsidR="00502F0E" w:rsidRPr="007B7FA4" w:rsidTr="0099129A">
              <w:trPr>
                <w:cantSplit/>
                <w:trHeight w:val="20"/>
              </w:trPr>
              <w:tc>
                <w:tcPr>
                  <w:tcW w:w="10783" w:type="dxa"/>
                  <w:tcBorders>
                    <w:top w:val="nil"/>
                    <w:left w:val="nil"/>
                    <w:right w:val="nil"/>
                  </w:tcBorders>
                </w:tcPr>
                <w:p w:rsidR="00502F0E" w:rsidRPr="007B7FA4" w:rsidRDefault="00502F0E" w:rsidP="00502F0E">
                  <w:pPr>
                    <w:ind w:left="-9"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</w:tbl>
          <w:p w:rsidR="00A73ADF" w:rsidRPr="006C2935" w:rsidRDefault="00A73ADF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A73ADF" w:rsidRPr="00485F07" w:rsidTr="0099129A">
        <w:trPr>
          <w:cantSplit/>
          <w:trHeight w:val="404"/>
        </w:trPr>
        <w:tc>
          <w:tcPr>
            <w:tcW w:w="567" w:type="dxa"/>
            <w:tcBorders>
              <w:top w:val="nil"/>
              <w:left w:val="nil"/>
            </w:tcBorders>
          </w:tcPr>
          <w:p w:rsidR="00A73ADF" w:rsidRPr="006C2935" w:rsidRDefault="00A73ADF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A73ADF" w:rsidRPr="006C2935" w:rsidRDefault="00A73ADF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3ADF" w:rsidRPr="006C2935" w:rsidRDefault="00A73ADF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6"/>
            <w:tcBorders>
              <w:top w:val="nil"/>
              <w:left w:val="nil"/>
            </w:tcBorders>
            <w:vAlign w:val="center"/>
          </w:tcPr>
          <w:p w:rsidR="00A73ADF" w:rsidRPr="00485F07" w:rsidRDefault="00A73ADF" w:rsidP="0099129A">
            <w:pPr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A73ADF" w:rsidRPr="00485F07" w:rsidTr="0099129A">
        <w:trPr>
          <w:cantSplit/>
          <w:trHeight w:val="20"/>
        </w:trPr>
        <w:tc>
          <w:tcPr>
            <w:tcW w:w="10783" w:type="dxa"/>
            <w:gridSpan w:val="9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DF" w:rsidRPr="006C2935" w:rsidRDefault="00A73ADF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A73ADF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45E" w:rsidRPr="00502F0E" w:rsidRDefault="0053745E" w:rsidP="00613B78">
            <w:pPr>
              <w:pStyle w:val="cee1fbf7edfbe9"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Минимальные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объемы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детального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освидетельствования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и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замеров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толщин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  <w:r w:rsidR="00613B78"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minimum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scopes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close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-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up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survey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and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thickness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measurements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B7FA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="00B00548"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15</w:t>
            </w:r>
            <w:r w:rsidRPr="00502F0E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7FA4" w:rsidRPr="007B7FA4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7CBC" w:rsidRPr="006C09FC" w:rsidRDefault="00B26BB3" w:rsidP="00A73ADF">
            <w:pPr>
              <w:pStyle w:val="cee1fbf7edfbe9"/>
              <w:spacing w:before="120"/>
              <w:ind w:left="-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B3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ПБУ </w:t>
            </w:r>
            <w:r w:rsidR="00613B78" w:rsidRPr="00613B78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(</w:t>
            </w:r>
            <w:r w:rsidR="00613B78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 xml:space="preserve">установка </w:t>
            </w:r>
            <w:r w:rsidR="00BD4F24" w:rsidRPr="00BD4F24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со стабилизирующими колоннами</w:t>
            </w:r>
            <w:r w:rsidR="00613B78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7FA4" w:rsidRPr="00BF4D37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</w:tcPr>
          <w:p w:rsidR="00ED7CBC" w:rsidRPr="00613B78" w:rsidRDefault="00B26BB3" w:rsidP="00613B78">
            <w:pPr>
              <w:ind w:left="-9"/>
              <w:jc w:val="center"/>
              <w:rPr>
                <w:rFonts w:cs="Arial"/>
                <w:b/>
                <w:szCs w:val="20"/>
              </w:rPr>
            </w:pPr>
            <w:r w:rsidRPr="00B26BB3">
              <w:rPr>
                <w:rFonts w:cs="Arial"/>
                <w:b/>
                <w:szCs w:val="20"/>
                <w:lang w:val="en-US"/>
              </w:rPr>
              <w:t xml:space="preserve">MODU </w:t>
            </w:r>
            <w:r w:rsidR="00613B78">
              <w:rPr>
                <w:rFonts w:cs="Arial"/>
                <w:b/>
                <w:szCs w:val="20"/>
              </w:rPr>
              <w:t>(</w:t>
            </w:r>
            <w:r w:rsidR="00BD4F24">
              <w:rPr>
                <w:rFonts w:cs="Arial"/>
                <w:b/>
                <w:szCs w:val="20"/>
                <w:lang w:val="en-US"/>
              </w:rPr>
              <w:t>c</w:t>
            </w:r>
            <w:r w:rsidR="00BD4F24" w:rsidRPr="00BD4F24">
              <w:rPr>
                <w:rFonts w:cs="Arial"/>
                <w:b/>
                <w:szCs w:val="20"/>
                <w:lang w:val="en-US"/>
              </w:rPr>
              <w:t>olumn-</w:t>
            </w:r>
            <w:r w:rsidR="0059781A">
              <w:rPr>
                <w:rFonts w:cs="Arial"/>
                <w:b/>
                <w:szCs w:val="20"/>
                <w:lang w:val="en-US"/>
              </w:rPr>
              <w:t>s</w:t>
            </w:r>
            <w:r w:rsidR="00BD4F24" w:rsidRPr="00BD4F24">
              <w:rPr>
                <w:rFonts w:cs="Arial"/>
                <w:b/>
                <w:szCs w:val="20"/>
                <w:lang w:val="en-US"/>
              </w:rPr>
              <w:t>tabilized</w:t>
            </w:r>
            <w:r w:rsidR="00613B78">
              <w:rPr>
                <w:rFonts w:cs="Arial"/>
                <w:b/>
                <w:szCs w:val="20"/>
                <w:lang w:val="en-US"/>
              </w:rPr>
              <w:t xml:space="preserve"> unit)</w:t>
            </w:r>
          </w:p>
        </w:tc>
      </w:tr>
      <w:tr w:rsidR="007B7FA4" w:rsidRPr="00502F0E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3745E" w:rsidRPr="00502F0E" w:rsidRDefault="0053745E" w:rsidP="004F486B">
            <w:pPr>
              <w:pStyle w:val="cee1fbf7edfbe9"/>
              <w:ind w:left="-108" w:right="-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3ADF" w:rsidRPr="004D74C4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3ADF" w:rsidRPr="001C6ABF" w:rsidRDefault="00A73ADF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FD718B" w:rsidRPr="00627CC6" w:rsidTr="00A73ADF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D718B" w:rsidRPr="00187B91" w:rsidRDefault="00FD718B" w:rsidP="00FD718B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FD718B" w:rsidRPr="007A24A9" w:rsidRDefault="00FD718B" w:rsidP="00FD718B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FD718B" w:rsidRPr="00627CC6" w:rsidTr="00A73ADF">
        <w:trPr>
          <w:cantSplit/>
          <w:trHeight w:val="20"/>
        </w:trPr>
        <w:tc>
          <w:tcPr>
            <w:tcW w:w="3407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718B" w:rsidRPr="00187B91" w:rsidRDefault="00FD718B" w:rsidP="00FD718B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5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D718B" w:rsidRPr="007A24A9" w:rsidRDefault="00FD718B" w:rsidP="00FD718B">
            <w:pPr>
              <w:rPr>
                <w:rFonts w:cs="Arial"/>
                <w:b/>
                <w:szCs w:val="20"/>
              </w:rPr>
            </w:pPr>
          </w:p>
        </w:tc>
      </w:tr>
      <w:tr w:rsidR="00FD718B" w:rsidRPr="00627CC6" w:rsidTr="00A73ADF">
        <w:trPr>
          <w:cantSplit/>
          <w:trHeight w:val="20"/>
        </w:trPr>
        <w:tc>
          <w:tcPr>
            <w:tcW w:w="3407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D718B" w:rsidRPr="00187B91" w:rsidRDefault="00FD718B" w:rsidP="00FD718B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D718B" w:rsidRPr="00DF2C88" w:rsidRDefault="00FD718B" w:rsidP="00FD718B">
            <w:pPr>
              <w:rPr>
                <w:rFonts w:cs="Arial"/>
                <w:b/>
                <w:szCs w:val="20"/>
              </w:rPr>
            </w:pPr>
          </w:p>
        </w:tc>
      </w:tr>
      <w:tr w:rsidR="00A73ADF" w:rsidRPr="00627CC6" w:rsidTr="00A73ADF">
        <w:trPr>
          <w:cantSplit/>
          <w:trHeight w:val="20"/>
        </w:trPr>
        <w:tc>
          <w:tcPr>
            <w:tcW w:w="3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DF" w:rsidRPr="00187B91" w:rsidRDefault="00A73ADF" w:rsidP="0099129A">
            <w:pPr>
              <w:pStyle w:val="d1eee4e5f0e6e8eceee5f2e0e1ebe8f6fb"/>
              <w:rPr>
                <w:rFonts w:cs="Arial"/>
                <w:szCs w:val="20"/>
              </w:rPr>
            </w:pPr>
            <w:proofErr w:type="spellStart"/>
            <w:r w:rsidRPr="00187B91">
              <w:rPr>
                <w:rFonts w:cs="Arial"/>
                <w:iCs/>
                <w:szCs w:val="20"/>
              </w:rPr>
              <w:t>Registered</w:t>
            </w:r>
            <w:proofErr w:type="spellEnd"/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73ADF" w:rsidRPr="00DF2C88" w:rsidRDefault="00A73ADF" w:rsidP="0099129A">
            <w:pPr>
              <w:rPr>
                <w:rFonts w:cs="Arial"/>
                <w:b/>
                <w:szCs w:val="20"/>
              </w:rPr>
            </w:pPr>
          </w:p>
        </w:tc>
      </w:tr>
      <w:tr w:rsidR="00A73ADF" w:rsidRPr="006C2935" w:rsidTr="00A73ADF">
        <w:trPr>
          <w:cantSplit/>
          <w:trHeight w:val="20"/>
        </w:trPr>
        <w:tc>
          <w:tcPr>
            <w:tcW w:w="1078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73ADF" w:rsidRPr="006C2935" w:rsidRDefault="00A73ADF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B7FA4" w:rsidRPr="007B7FA4" w:rsidTr="00A73ADF">
        <w:trPr>
          <w:cantSplit/>
          <w:trHeight w:val="20"/>
        </w:trPr>
        <w:tc>
          <w:tcPr>
            <w:tcW w:w="5797" w:type="dxa"/>
            <w:gridSpan w:val="5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745E" w:rsidRPr="00613B78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Наименования районов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и корпусных конструкций</w:t>
            </w:r>
            <w:r w:rsid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’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areas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and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hull</w:t>
            </w:r>
            <w:r w:rsidRP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613B78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  <w:r w:rsidR="00613B78"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commencement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E" w:rsidRPr="007B7FA4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  <w:r w:rsid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completion</w:t>
            </w:r>
          </w:p>
        </w:tc>
      </w:tr>
      <w:tr w:rsidR="007B7FA4" w:rsidRPr="004D74C4" w:rsidTr="00A73ADF">
        <w:trPr>
          <w:cantSplit/>
          <w:trHeight w:val="20"/>
        </w:trPr>
        <w:tc>
          <w:tcPr>
            <w:tcW w:w="5797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3745E" w:rsidRPr="007B7FA4" w:rsidRDefault="0053745E" w:rsidP="004F486B">
            <w:pPr>
              <w:ind w:left="-108" w:right="-120"/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  <w:r w:rsid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  <w:r w:rsid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745E" w:rsidRPr="007B7FA4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="00613B7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3745E" w:rsidRPr="00613B78" w:rsidRDefault="0053745E" w:rsidP="00613B78">
            <w:pPr>
              <w:pStyle w:val="cee1fbf7edfbe9"/>
              <w:widowControl/>
              <w:ind w:left="-108" w:right="-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  <w:r w:rsidR="00613B78"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13B78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B7FA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</w:t>
            </w:r>
          </w:p>
        </w:tc>
      </w:tr>
      <w:tr w:rsidR="007B7FA4" w:rsidRPr="007B7FA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7B7FA4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7B7F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FA4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13B7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7F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</w:t>
            </w:r>
            <w:r w:rsidRPr="00613B7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72567" w:rsidRPr="006B49D3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 лет</w:t>
            </w:r>
            <w:r w:rsidR="00CB065E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7B7FA4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13B7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5</w:t>
            </w:r>
          </w:p>
        </w:tc>
      </w:tr>
      <w:tr w:rsidR="00C24F6C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24F6C" w:rsidRPr="00CB065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F6C" w:rsidRPr="00502F0E" w:rsidRDefault="00C6657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cs="Arial"/>
                <w:szCs w:val="20"/>
              </w:rPr>
            </w:r>
            <w:r w:rsidR="004D74C4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cs="Arial"/>
                <w:szCs w:val="20"/>
              </w:rPr>
            </w:r>
            <w:r w:rsidR="004D74C4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cs="Arial"/>
                <w:szCs w:val="20"/>
              </w:rPr>
            </w:r>
            <w:r w:rsidR="004D74C4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C6657E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  <w:r w:rsidRPr="00BF4D3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57E">
              <w:rPr>
                <w:rFonts w:cs="Arial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cs="Arial"/>
                <w:szCs w:val="20"/>
              </w:rPr>
            </w:r>
            <w:r w:rsidR="004D74C4">
              <w:rPr>
                <w:rFonts w:cs="Arial"/>
                <w:szCs w:val="20"/>
              </w:rPr>
              <w:fldChar w:fldCharType="separate"/>
            </w:r>
            <w:r w:rsidRPr="00BF4D37">
              <w:rPr>
                <w:rFonts w:cs="Arial"/>
                <w:szCs w:val="20"/>
              </w:rPr>
              <w:fldChar w:fldCharType="end"/>
            </w:r>
          </w:p>
        </w:tc>
      </w:tr>
      <w:tr w:rsidR="00C24F6C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F6C" w:rsidRPr="00C6657E" w:rsidRDefault="00C24F6C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F6C" w:rsidRPr="00502F0E" w:rsidRDefault="00034A9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24F6C" w:rsidRPr="0061744C" w:rsidRDefault="00C24F6C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354D" w:rsidRPr="00C6657E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Колонны, распоры и раскосы в зоне переменного смачивания, износ которых, по мнению инспектора РС, очевиден.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Columns and bracings where, at the RS surveyor's discretion, wastage is evident in splash zone.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Mar>
              <w:left w:w="0" w:type="dxa"/>
              <w:right w:w="0" w:type="dxa"/>
            </w:tcMar>
          </w:tcPr>
          <w:p w:rsidR="00C5354D" w:rsidRPr="006143F8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6143F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502F0E" w:rsidRDefault="00C5354D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A500BA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5354D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5354D" w:rsidRPr="00A500BA" w:rsidRDefault="00C5354D" w:rsidP="004F486B">
            <w:pPr>
              <w:pStyle w:val="cee1fbf7edfbe9"/>
              <w:widowControl/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354D" w:rsidRPr="00502F0E" w:rsidRDefault="00C5354D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5354D" w:rsidRPr="0061744C" w:rsidRDefault="00C5354D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CB065E" w:rsidTr="00A73ADF">
        <w:trPr>
          <w:cantSplit/>
          <w:trHeight w:val="116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&lt; Возраст </w:t>
            </w:r>
            <w:r w:rsid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установки</w:t>
            </w: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 лет</w:t>
            </w:r>
            <w:r w:rsidR="00CB065E" w:rsidRPr="00CB065E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CB065E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CB065E" w:rsidRDefault="00CB065E" w:rsidP="004F486B">
            <w:pPr>
              <w:ind w:left="-9"/>
              <w:rPr>
                <w:rFonts w:cs="Arial"/>
                <w:szCs w:val="20"/>
              </w:rPr>
            </w:pPr>
            <w:r w:rsidRPr="00CB065E">
              <w:rPr>
                <w:rFonts w:cs="Arial"/>
                <w:szCs w:val="20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502F0E" w:rsidRDefault="008F6389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CB065E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065E" w:rsidRPr="0059781A" w:rsidRDefault="00CB06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19B" w:rsidRPr="00502F0E" w:rsidRDefault="00034A9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065E" w:rsidRPr="0059781A" w:rsidRDefault="00CB06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493054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83D0D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Выборочные замеры колонн, распоров и раскосов в зоне периодического смачивания, с внутренними конструкциями.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Representative </w:t>
            </w:r>
            <w:proofErr w:type="spellStart"/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gaugings</w:t>
            </w:r>
            <w:proofErr w:type="spellEnd"/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of columns and bracings in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 together with internals in way as deemed necessary.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A500B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731079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079" w:rsidRPr="00C004B7" w:rsidRDefault="00731079" w:rsidP="004F486B">
            <w:pPr>
              <w:ind w:left="-9"/>
              <w:rPr>
                <w:rFonts w:cs="Arial"/>
                <w:szCs w:val="20"/>
              </w:rPr>
            </w:pPr>
            <w:r w:rsidRPr="00C004B7">
              <w:rPr>
                <w:rFonts w:cs="Arial"/>
                <w:szCs w:val="20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079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Специальные конструктивные элементы, износ которых, по мнению инспектора РС, очевиден.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A500B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Special and primary application structure where, at the RS surveyor's discretion, wastage is evident.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67015B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67015B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67015B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1079" w:rsidRPr="0067015B" w:rsidRDefault="00731079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004B7" w:rsidRDefault="006143F8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</w:t>
            </w:r>
            <w:r w:rsidR="0053745E" w:rsidRPr="00C004B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502F0E" w:rsidRDefault="0053745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F72B5F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="00C97F98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F72B5F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B49D3" w:rsidRDefault="0053745E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6B49D3" w:rsidRDefault="0053745E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502F0E" w:rsidRDefault="00034A9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</w:t>
            </w:r>
            <w:r w:rsidR="00493054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оз</w:t>
            </w:r>
            <w:r w:rsidR="00493054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="00493054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="00493054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:</w:t>
            </w:r>
            <w:r w:rsidR="00C97F98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Structure, p</w:t>
            </w:r>
            <w:r w:rsidR="00493054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</w:t>
            </w:r>
            <w:r w:rsidR="00493054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rs.</w:t>
            </w:r>
            <w:proofErr w:type="spellEnd"/>
            <w:r w:rsidR="00493054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034A9E" w:rsidRDefault="0053745E" w:rsidP="004F486B">
            <w:pPr>
              <w:ind w:left="-9"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</w:tr>
      <w:tr w:rsidR="007B7FA4" w:rsidRPr="00CB065E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4F486B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lastRenderedPageBreak/>
              <w:t>III</w:t>
            </w:r>
            <w:r w:rsidRPr="00C97F98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72567" w:rsidRPr="00CB065E" w:rsidRDefault="00D72567" w:rsidP="006143F8">
            <w:pPr>
              <w:pStyle w:val="cee1fbf7edfbe9"/>
              <w:widowControl/>
              <w:ind w:left="-11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лет &lt; 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 лет</w:t>
            </w:r>
            <w:r w:rsidR="00C97F98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</w:t>
            </w:r>
            <w:r w:rsidR="006B49D3" w:rsidRP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unit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97F98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97F98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502F0E" w:rsidRDefault="008F6389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59781A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59781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7F98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59781A" w:rsidRDefault="00C97F98" w:rsidP="004F486B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97F98" w:rsidRPr="00502F0E" w:rsidRDefault="00034A9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7F98" w:rsidRPr="0059781A" w:rsidRDefault="00C97F98" w:rsidP="004F486B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B7FA4" w:rsidRPr="006143F8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FB5C75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Выборочные замеры всех специальных и основных конструктивных элементов.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Representative gaugings, throughout, of special and primary application structures.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143F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143F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143F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143F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143F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143F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143F8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143F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Одно поперечное сечение каждой из двух колонн и </w:t>
            </w:r>
            <w:proofErr w:type="gram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их распоров</w:t>
            </w:r>
            <w:proofErr w:type="gramEnd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 и раскосов в зоне переменного смачивания, с внутренними конструкциями.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ransverse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ection (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irth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b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elt) of each of 2 columns and 2 bracings in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 together with internals in way as deemed necessary.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7FA4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CB065E" w:rsidRDefault="0053745E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45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Элементы нижнего строения в районе швартовных канатов, износ которых, по мнению.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Lower hulls in way of mooring lines where wastage is evident.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745E" w:rsidRPr="0067015B" w:rsidRDefault="0053745E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4B7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C004B7" w:rsidRDefault="00C004B7" w:rsidP="004F486B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4B7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Одно поперечное сечение каждого нижнего строения между одним комплектом колонн.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ransverse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ection (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irth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b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elt) of each lower hull between one set of columns.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7015B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7015B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7015B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4B7" w:rsidRPr="0067015B" w:rsidRDefault="00C004B7" w:rsidP="004F486B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6143F8" w:rsidP="00C004B7">
            <w:pPr>
              <w:pStyle w:val="cee1fbf7edfbe9"/>
              <w:widowControl/>
              <w:tabs>
                <w:tab w:val="left" w:pos="-1800"/>
              </w:tabs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6</w:t>
            </w:r>
            <w:r w:rsidR="00FD4C4E"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FD4C4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0B5773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0B5773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BF4D37" w:rsidRDefault="00FD4C4E" w:rsidP="00FD4C4E">
            <w:pPr>
              <w:pStyle w:val="cee1fbf7edfbe9"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BF4D37" w:rsidRDefault="00FD4C4E" w:rsidP="00FD4C4E">
            <w:pPr>
              <w:pStyle w:val="cee1fbf7edfbe9"/>
              <w:widowControl/>
              <w:tabs>
                <w:tab w:val="left" w:pos="360"/>
              </w:tabs>
              <w:ind w:left="-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FD4C4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CB065E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CB065E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08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6B49D3">
            <w:pPr>
              <w:pStyle w:val="cee1fbf7edfbe9"/>
              <w:widowControl/>
              <w:ind w:left="-9"/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</w:pP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</w:t>
            </w:r>
            <w:r w:rsidR="006B49D3" w:rsidRPr="006B49D3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установки</w:t>
            </w:r>
            <w:r w:rsidR="00D87A7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br/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CB065E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B49D3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the unit</w:t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8F6389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Сомнительные зоны по всей установке.</w:t>
            </w:r>
            <w:r w:rsidR="00E5385B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Suspect areas throughout the unit.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9781A" w:rsidRDefault="00FD4C4E" w:rsidP="00FD4C4E">
            <w:pPr>
              <w:ind w:left="-9"/>
              <w:rPr>
                <w:rFonts w:cs="Arial"/>
                <w:szCs w:val="20"/>
                <w:lang w:val="en-US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FD4C4E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59781A" w:rsidRDefault="00FD4C4E" w:rsidP="00FD4C4E">
            <w:pPr>
              <w:ind w:left="-9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специальные и основные конструктивные элементы.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Comprehensive </w:t>
            </w:r>
            <w:proofErr w:type="spellStart"/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gaugings</w:t>
            </w:r>
            <w:proofErr w:type="spellEnd"/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, throughout, of special and primary application structures.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Одно поперечное сечение каждой из половин колонн и их распоров и раскосов в зоне переменного смачивания с внутренними конструкциями (т.е. не менее половины всех колонн и их распоров и раскосов установки в зоне переменного смачивания).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ransverse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ection (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irth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b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elt) of each of one-half of the columns and bracings in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and internals in way as deemed necessary (i.e., gauge half of the unit’s columns and bracings in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plash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z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Элементы нижнего строения в районе швартовных канатов, износ которых, по мнению инспектора РС, очевиден.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Lower hulls in way of mooring lines where wastage is evident.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Одно поперечное сечение каждого нижнего строения между одним комплектом колонн.</w:t>
            </w:r>
            <w:r w:rsidR="0067015B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One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ransverse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ection (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irth </w:t>
            </w:r>
            <w:r w:rsidR="0059781A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b</w:t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elt) of each lower hull between one set of columns.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4C4E" w:rsidRPr="004D74C4" w:rsidTr="00A73ADF">
        <w:trPr>
          <w:cantSplit/>
          <w:trHeight w:val="20"/>
        </w:trPr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CB065E" w:rsidRDefault="00FD4C4E" w:rsidP="00FD4C4E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D4C4E" w:rsidRPr="00502F0E" w:rsidRDefault="006143F8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Фундамент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портала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буровой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вышки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</w:r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Representative </w:t>
            </w:r>
            <w:proofErr w:type="spellStart"/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gaugings</w:t>
            </w:r>
            <w:proofErr w:type="spellEnd"/>
            <w:r w:rsidR="0067015B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of substructure of drilling derrick.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4C4E" w:rsidRPr="0067015B" w:rsidRDefault="00FD4C4E" w:rsidP="00FD4C4E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67015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4D74C4" w:rsidTr="00A73ADF">
        <w:trPr>
          <w:cantSplit/>
          <w:trHeight w:val="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CB065E" w:rsidRDefault="006143F8" w:rsidP="00E071D3">
            <w:pPr>
              <w:pStyle w:val="cee1fbf7edfbe9"/>
              <w:widowControl/>
              <w:ind w:left="-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7</w:t>
            </w:r>
            <w:r w:rsidR="00D87A73" w:rsidRPr="00CB065E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502F0E" w:rsidRDefault="00D87A73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  <w:r w:rsidR="00953A2D"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.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br/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  <w:r w:rsidR="00953A2D"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BF4D37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BF4D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4D3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 w:rsidR="004D74C4">
              <w:rPr>
                <w:rFonts w:ascii="Arial" w:hAnsi="Arial" w:cs="Arial"/>
                <w:sz w:val="20"/>
                <w:szCs w:val="20"/>
              </w:rPr>
            </w:r>
            <w:r w:rsidR="004D74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4D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A73" w:rsidRPr="004D74C4" w:rsidTr="00A73ADF">
        <w:trPr>
          <w:cantSplit/>
          <w:trHeight w:val="20"/>
        </w:trPr>
        <w:tc>
          <w:tcPr>
            <w:tcW w:w="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953A2D" w:rsidRDefault="00D87A73" w:rsidP="00D87A73">
            <w:pPr>
              <w:pStyle w:val="cee1fbf7edfbe9"/>
              <w:widowControl/>
              <w:ind w:left="-9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A73" w:rsidRPr="00502F0E" w:rsidRDefault="00D87A73" w:rsidP="00FB5C75">
            <w:pPr>
              <w:pStyle w:val="cee1fbf7edfbe9"/>
              <w:widowControl/>
              <w:ind w:left="10" w:right="-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Конструкция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поз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., №№ </w:t>
            </w:r>
            <w:proofErr w:type="spellStart"/>
            <w:r w:rsidRPr="00FB5C75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шп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.:</w:t>
            </w:r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br/>
              <w:t xml:space="preserve">Structure, pos., </w:t>
            </w:r>
            <w:proofErr w:type="spellStart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frs.</w:t>
            </w:r>
            <w:proofErr w:type="spellEnd"/>
            <w:r w:rsidRPr="00502F0E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Nos.: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7A73" w:rsidRPr="00D87A73" w:rsidRDefault="00D87A73" w:rsidP="00D87A73">
            <w:pPr>
              <w:pStyle w:val="cee1fbf7edfbe9"/>
              <w:widowControl/>
              <w:ind w:left="-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53745E" w:rsidRPr="00CB065E" w:rsidRDefault="0053745E" w:rsidP="004F486B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53745E" w:rsidRPr="00CB065E" w:rsidSect="00A73ADF">
      <w:headerReference w:type="default" r:id="rId7"/>
      <w:headerReference w:type="first" r:id="rId8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0D" w:rsidRDefault="0013190D">
      <w:r>
        <w:separator/>
      </w:r>
    </w:p>
  </w:endnote>
  <w:endnote w:type="continuationSeparator" w:id="0">
    <w:p w:rsidR="0013190D" w:rsidRDefault="0013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0D" w:rsidRDefault="0013190D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13190D" w:rsidRDefault="0013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  <w:gridCol w:w="1843"/>
      <w:gridCol w:w="571"/>
    </w:tblGrid>
    <w:tr w:rsidR="00034A9E" w:rsidRPr="007B7FA4" w:rsidTr="00800717">
      <w:tc>
        <w:tcPr>
          <w:tcW w:w="8364" w:type="dxa"/>
          <w:vMerge w:val="restart"/>
          <w:tcBorders>
            <w:top w:val="nil"/>
            <w:left w:val="nil"/>
            <w:right w:val="nil"/>
          </w:tcBorders>
        </w:tcPr>
        <w:p w:rsidR="00034A9E" w:rsidRPr="007B7FA4" w:rsidRDefault="00034A9E" w:rsidP="00B90C55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41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34A9E" w:rsidRPr="007B7FA4" w:rsidRDefault="00034A9E" w:rsidP="00BD4F24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>
            <w:rPr>
              <w:rStyle w:val="cef1edeee2edeee9f8f0e8f4f2e0e1e7e0f6e0"/>
              <w:rFonts w:cs="Arial"/>
              <w:b/>
              <w:szCs w:val="18"/>
            </w:rPr>
            <w:t>15</w:t>
          </w:r>
          <w:r w:rsidR="00800717">
            <w:rPr>
              <w:rStyle w:val="cef1edeee2edeee9f8f0e8f4f2e0e1e7e0f6e0"/>
              <w:rFonts w:cs="Arial"/>
              <w:b/>
              <w:szCs w:val="18"/>
              <w:lang w:val="en-US"/>
            </w:rPr>
            <w:t xml:space="preserve"> MDCS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A73ADF">
            <w:rPr>
              <w:rStyle w:val="cef1edeee2edeee9f8f0e8f4f2e0e1e7e0f6e0"/>
              <w:rFonts w:cs="Arial"/>
              <w:b/>
              <w:szCs w:val="18"/>
              <w:lang w:val="en-US"/>
            </w:rPr>
            <w:t>01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2</w:t>
          </w:r>
          <w:r w:rsidR="00A73ADF">
            <w:rPr>
              <w:rStyle w:val="cef1edeee2edeee9f8f0e8f4f2e0e1e7e0f6e0"/>
              <w:rFonts w:cs="Arial"/>
              <w:b/>
              <w:szCs w:val="18"/>
              <w:lang w:val="en-US"/>
            </w:rPr>
            <w:t>5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034A9E" w:rsidRPr="007B7FA4" w:rsidTr="00800717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7B7FA4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613B78">
            <w:rPr>
              <w:rStyle w:val="cef1edeee2edeee9f8f0e8f4f2e0e1e7e0f6e0"/>
              <w:rFonts w:cs="Arial"/>
              <w:noProof/>
              <w:sz w:val="16"/>
              <w:szCs w:val="16"/>
            </w:rPr>
            <w:t>1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613B78">
            <w:rPr>
              <w:rStyle w:val="cef1edeee2edeee9f8f0e8f4f2e0e1e7e0f6e0"/>
              <w:rFonts w:cs="Arial"/>
              <w:noProof/>
              <w:sz w:val="16"/>
              <w:szCs w:val="16"/>
            </w:rPr>
            <w:t>2</w:t>
          </w:r>
          <w:r w:rsidRPr="007B7FA4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034A9E" w:rsidRPr="007B7FA4" w:rsidTr="00800717">
      <w:trPr>
        <w:trHeight w:val="155"/>
      </w:trPr>
      <w:tc>
        <w:tcPr>
          <w:tcW w:w="8364" w:type="dxa"/>
          <w:vMerge/>
          <w:tcBorders>
            <w:left w:val="nil"/>
            <w:right w:val="nil"/>
          </w:tcBorders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843" w:type="dxa"/>
          <w:tcBorders>
            <w:top w:val="nil"/>
            <w:left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7B7FA4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034A9E" w:rsidRPr="007B7FA4" w:rsidRDefault="00034A9E" w:rsidP="00B90C5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034A9E" w:rsidRPr="007B7FA4" w:rsidTr="00800717">
      <w:tblPrEx>
        <w:tblLook w:val="04A0" w:firstRow="1" w:lastRow="0" w:firstColumn="1" w:lastColumn="0" w:noHBand="0" w:noVBand="1"/>
      </w:tblPrEx>
      <w:tc>
        <w:tcPr>
          <w:tcW w:w="8364" w:type="dxa"/>
          <w:vMerge/>
          <w:tcBorders>
            <w:bottom w:val="single" w:sz="4" w:space="0" w:color="auto"/>
          </w:tcBorders>
        </w:tcPr>
        <w:p w:rsidR="00034A9E" w:rsidRPr="007B7FA4" w:rsidRDefault="00034A9E" w:rsidP="00B90C5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414" w:type="dxa"/>
          <w:gridSpan w:val="2"/>
          <w:tcBorders>
            <w:bottom w:val="single" w:sz="4" w:space="0" w:color="auto"/>
          </w:tcBorders>
        </w:tcPr>
        <w:p w:rsidR="00034A9E" w:rsidRPr="007B7FA4" w:rsidRDefault="00034A9E" w:rsidP="00800717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034A9E" w:rsidRPr="007B7FA4" w:rsidRDefault="00034A9E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985"/>
      <w:gridCol w:w="571"/>
    </w:tblGrid>
    <w:tr w:rsidR="00A73ADF" w:rsidRPr="00673563" w:rsidTr="00A73ADF">
      <w:tc>
        <w:tcPr>
          <w:tcW w:w="8222" w:type="dxa"/>
          <w:vMerge w:val="restart"/>
          <w:tcBorders>
            <w:top w:val="nil"/>
            <w:left w:val="nil"/>
            <w:right w:val="nil"/>
          </w:tcBorders>
        </w:tcPr>
        <w:p w:rsidR="00A73ADF" w:rsidRPr="00673563" w:rsidRDefault="00A73ADF" w:rsidP="00A73ADF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143ECE60" wp14:editId="487FEFF2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73ADF" w:rsidRPr="00673563" w:rsidRDefault="00A73ADF" w:rsidP="00A73ADF">
          <w:pPr>
            <w:jc w:val="right"/>
            <w:rPr>
              <w:rFonts w:cs="Arial"/>
            </w:rPr>
          </w:pPr>
          <w:r w:rsidRPr="007B7FA4">
            <w:rPr>
              <w:rStyle w:val="cef1edeee2edeee9f8f0e8f4f2e0e1e7e0f6e0"/>
              <w:rFonts w:cs="Arial"/>
              <w:b/>
              <w:szCs w:val="18"/>
            </w:rPr>
            <w:t>6.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7B7FA4">
            <w:rPr>
              <w:rStyle w:val="cef1edeee2edeee9f8f0e8f4f2e0e1e7e0f6e0"/>
              <w:rFonts w:cs="Arial"/>
              <w:b/>
              <w:szCs w:val="18"/>
            </w:rPr>
            <w:t>.</w:t>
          </w:r>
          <w:r w:rsidRPr="007B7FA4">
            <w:rPr>
              <w:rStyle w:val="cef1edeee2edeee9f8f0e8f4f2e0e1e7e0f6e0"/>
              <w:rFonts w:cs="Arial"/>
              <w:b/>
              <w:szCs w:val="18"/>
              <w:lang w:val="en-US"/>
            </w:rPr>
            <w:t>1Z</w:t>
          </w:r>
          <w:r>
            <w:rPr>
              <w:rStyle w:val="cef1edeee2edeee9f8f0e8f4f2e0e1e7e0f6e0"/>
              <w:rFonts w:cs="Arial"/>
              <w:b/>
              <w:szCs w:val="18"/>
            </w:rPr>
            <w:t>15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 xml:space="preserve"> MDCS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A73ADF" w:rsidRPr="00406163" w:rsidTr="00A73ADF">
      <w:trPr>
        <w:trHeight w:val="155"/>
      </w:trPr>
      <w:tc>
        <w:tcPr>
          <w:tcW w:w="8222" w:type="dxa"/>
          <w:vMerge/>
          <w:tcBorders>
            <w:left w:val="nil"/>
            <w:right w:val="nil"/>
          </w:tcBorders>
        </w:tcPr>
        <w:p w:rsidR="00A73ADF" w:rsidRPr="00187B91" w:rsidRDefault="00A73ADF" w:rsidP="00A73AD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right w:val="nil"/>
          </w:tcBorders>
          <w:vAlign w:val="center"/>
        </w:tcPr>
        <w:p w:rsidR="00A73ADF" w:rsidRPr="00187B91" w:rsidRDefault="00A73ADF" w:rsidP="00A73ADF">
          <w:pPr>
            <w:pStyle w:val="d1eee4e5f0e6e8eceee5f2e0e1ebe8f6fb"/>
            <w:jc w:val="right"/>
            <w:rPr>
              <w:rFonts w:cs="Arial"/>
              <w:sz w:val="16"/>
            </w:rPr>
          </w:pPr>
          <w:r w:rsidRPr="00187B91"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A73ADF" w:rsidRPr="00187B91" w:rsidRDefault="00A73ADF" w:rsidP="00A73ADF">
          <w:pPr>
            <w:pStyle w:val="d1eee4e5f0e6e8eceee5f2e0e1ebe8f6fb"/>
            <w:jc w:val="right"/>
            <w:rPr>
              <w:rFonts w:cs="Arial"/>
            </w:rPr>
          </w:pP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1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187B91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A73ADF" w:rsidRPr="00406163" w:rsidTr="00A73ADF">
      <w:trPr>
        <w:trHeight w:val="155"/>
      </w:trPr>
      <w:tc>
        <w:tcPr>
          <w:tcW w:w="8222" w:type="dxa"/>
          <w:vMerge/>
          <w:tcBorders>
            <w:left w:val="nil"/>
            <w:right w:val="nil"/>
          </w:tcBorders>
        </w:tcPr>
        <w:p w:rsidR="00A73ADF" w:rsidRPr="00187B91" w:rsidRDefault="00A73ADF" w:rsidP="00A73AD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right w:val="nil"/>
          </w:tcBorders>
          <w:vAlign w:val="center"/>
        </w:tcPr>
        <w:p w:rsidR="00A73ADF" w:rsidRPr="00187B91" w:rsidRDefault="00A73ADF" w:rsidP="00A73ADF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187B91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A73ADF" w:rsidRPr="00187B91" w:rsidRDefault="00A73ADF" w:rsidP="00A73ADF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A73ADF" w:rsidRPr="00F41E77" w:rsidTr="00A73ADF">
      <w:tblPrEx>
        <w:tblLook w:val="04A0" w:firstRow="1" w:lastRow="0" w:firstColumn="1" w:lastColumn="0" w:noHBand="0" w:noVBand="1"/>
      </w:tblPrEx>
      <w:tc>
        <w:tcPr>
          <w:tcW w:w="8222" w:type="dxa"/>
          <w:vMerge/>
          <w:tcBorders>
            <w:bottom w:val="single" w:sz="4" w:space="0" w:color="auto"/>
          </w:tcBorders>
        </w:tcPr>
        <w:p w:rsidR="00A73ADF" w:rsidRPr="00406163" w:rsidRDefault="00A73ADF" w:rsidP="00A73ADF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556" w:type="dxa"/>
          <w:gridSpan w:val="2"/>
          <w:tcBorders>
            <w:bottom w:val="single" w:sz="4" w:space="0" w:color="auto"/>
          </w:tcBorders>
        </w:tcPr>
        <w:p w:rsidR="00A73ADF" w:rsidRPr="00F41E77" w:rsidRDefault="00A73ADF" w:rsidP="00A73ADF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  <w:r w:rsidRPr="00F41E77">
            <w:rPr>
              <w:rFonts w:cs="Arial"/>
              <w:sz w:val="16"/>
              <w:szCs w:val="16"/>
            </w:rPr>
            <w:tab/>
          </w:r>
        </w:p>
      </w:tc>
    </w:tr>
  </w:tbl>
  <w:p w:rsidR="00A73ADF" w:rsidRPr="00731445" w:rsidRDefault="00A73ADF" w:rsidP="00A73ADF">
    <w:pPr>
      <w:pStyle w:val="a3"/>
      <w:rPr>
        <w:sz w:val="2"/>
        <w:szCs w:val="2"/>
      </w:rPr>
    </w:pPr>
    <w:r>
      <w:rPr>
        <w:rFonts w:cs="Arial"/>
        <w:b/>
        <w:noProof/>
        <w:sz w:val="18"/>
        <w:szCs w:val="18"/>
        <w:lang w:eastAsia="ru-RU" w:bidi="ar-SA"/>
      </w:rPr>
      <w:drawing>
        <wp:anchor distT="0" distB="0" distL="114300" distR="114300" simplePos="0" relativeHeight="251659264" behindDoc="1" locked="0" layoutInCell="0" allowOverlap="1" wp14:anchorId="6F250428" wp14:editId="7A1D6C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8315" cy="7545705"/>
          <wp:effectExtent l="0" t="0" r="635" b="0"/>
          <wp:wrapNone/>
          <wp:docPr id="3" name="Рисунок 3" descr="якорь_сер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якорь_серы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4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3ADF" w:rsidRPr="00746F87" w:rsidRDefault="00A73ADF" w:rsidP="00A73ADF">
    <w:pPr>
      <w:pStyle w:val="a3"/>
      <w:rPr>
        <w:sz w:val="2"/>
        <w:szCs w:val="2"/>
      </w:rPr>
    </w:pPr>
  </w:p>
  <w:p w:rsidR="00A73ADF" w:rsidRPr="00A73ADF" w:rsidRDefault="00A73ADF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C"/>
    <w:rsid w:val="00004F3C"/>
    <w:rsid w:val="00006DEA"/>
    <w:rsid w:val="00034A9E"/>
    <w:rsid w:val="000747E8"/>
    <w:rsid w:val="000B5773"/>
    <w:rsid w:val="001235EF"/>
    <w:rsid w:val="0013190D"/>
    <w:rsid w:val="001408BA"/>
    <w:rsid w:val="001C45CD"/>
    <w:rsid w:val="002F1EDD"/>
    <w:rsid w:val="002F4D7A"/>
    <w:rsid w:val="0033592D"/>
    <w:rsid w:val="0039419B"/>
    <w:rsid w:val="003C6F3E"/>
    <w:rsid w:val="00415A57"/>
    <w:rsid w:val="004927D9"/>
    <w:rsid w:val="00493054"/>
    <w:rsid w:val="004D74C4"/>
    <w:rsid w:val="004F486B"/>
    <w:rsid w:val="0050045A"/>
    <w:rsid w:val="00502F0E"/>
    <w:rsid w:val="0053745E"/>
    <w:rsid w:val="0059781A"/>
    <w:rsid w:val="005A13F6"/>
    <w:rsid w:val="005A26D1"/>
    <w:rsid w:val="005D56B1"/>
    <w:rsid w:val="005D7716"/>
    <w:rsid w:val="005E27C4"/>
    <w:rsid w:val="00613B78"/>
    <w:rsid w:val="006143F8"/>
    <w:rsid w:val="0061744C"/>
    <w:rsid w:val="006324A1"/>
    <w:rsid w:val="0067015B"/>
    <w:rsid w:val="006B49D3"/>
    <w:rsid w:val="006C09FC"/>
    <w:rsid w:val="00731079"/>
    <w:rsid w:val="007B7FA4"/>
    <w:rsid w:val="007F4E23"/>
    <w:rsid w:val="00800717"/>
    <w:rsid w:val="00856040"/>
    <w:rsid w:val="008759FF"/>
    <w:rsid w:val="008C0B5A"/>
    <w:rsid w:val="008C782C"/>
    <w:rsid w:val="008D2798"/>
    <w:rsid w:val="008F6389"/>
    <w:rsid w:val="00921BE8"/>
    <w:rsid w:val="009356AC"/>
    <w:rsid w:val="00953A2D"/>
    <w:rsid w:val="00996881"/>
    <w:rsid w:val="009F52B6"/>
    <w:rsid w:val="00A500BA"/>
    <w:rsid w:val="00A73ADF"/>
    <w:rsid w:val="00B00548"/>
    <w:rsid w:val="00B26BB3"/>
    <w:rsid w:val="00B81909"/>
    <w:rsid w:val="00B90C55"/>
    <w:rsid w:val="00B95180"/>
    <w:rsid w:val="00BC0400"/>
    <w:rsid w:val="00BD38BA"/>
    <w:rsid w:val="00BD4F24"/>
    <w:rsid w:val="00BF4D37"/>
    <w:rsid w:val="00C004B7"/>
    <w:rsid w:val="00C16A5F"/>
    <w:rsid w:val="00C24F6C"/>
    <w:rsid w:val="00C52972"/>
    <w:rsid w:val="00C5354D"/>
    <w:rsid w:val="00C6657E"/>
    <w:rsid w:val="00C96A49"/>
    <w:rsid w:val="00C97F98"/>
    <w:rsid w:val="00CB065E"/>
    <w:rsid w:val="00D72567"/>
    <w:rsid w:val="00D81067"/>
    <w:rsid w:val="00D87A73"/>
    <w:rsid w:val="00E071D3"/>
    <w:rsid w:val="00E23206"/>
    <w:rsid w:val="00E5385B"/>
    <w:rsid w:val="00ED7CBC"/>
    <w:rsid w:val="00F12B26"/>
    <w:rsid w:val="00F416C2"/>
    <w:rsid w:val="00F72B5F"/>
    <w:rsid w:val="00F83D0D"/>
    <w:rsid w:val="00F9239A"/>
    <w:rsid w:val="00FB5C75"/>
    <w:rsid w:val="00FD4C4E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066ECA4F-263A-4D7E-BAD5-0EE8AA2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C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eastAsia="Times New Roman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eastAsia="Times New Roman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eastAsia="Times New Roman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eastAsia="Times New Roman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eastAsia="Times New Roman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eastAsia="Times New Roman"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C78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C782C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61</cp:revision>
  <dcterms:created xsi:type="dcterms:W3CDTF">2021-05-17T10:23:00Z</dcterms:created>
  <dcterms:modified xsi:type="dcterms:W3CDTF">2025-01-16T05:55:00Z</dcterms:modified>
</cp:coreProperties>
</file>