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E2" w:rsidRPr="00456DE2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6043ED" w:rsidRDefault="000C3FA6" w:rsidP="00456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7 сессия Подкомитета ИМО по перевозке грузов и контейнеров (ССС</w:t>
      </w:r>
      <w:r w:rsidR="00881A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7)</w:t>
      </w:r>
      <w:r w:rsidR="006043E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–</w:t>
      </w:r>
      <w:r w:rsidR="006043E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 6 по 10 сентября 2021 г.</w:t>
      </w:r>
    </w:p>
    <w:p w:rsidR="00456DE2" w:rsidRPr="006043ED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456D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Седьмая сессия Подкомитета по перевозке грузов и контейнеров (CCC</w:t>
      </w:r>
      <w:r w:rsid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7) была проведена дистанционно с 6 по 10 сентября 2021 г. 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456DE2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Поправки к кодексу МГТ (IGF </w:t>
      </w:r>
      <w:proofErr w:type="spellStart"/>
      <w:r w:rsidRPr="00456D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code</w:t>
      </w:r>
      <w:proofErr w:type="spellEnd"/>
      <w:r w:rsidRPr="00456DE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) и разработка руководства по видам топлива с низкой температурой вспышки</w:t>
      </w:r>
    </w:p>
    <w:p w:rsidR="000864BD" w:rsidRPr="00DF4D1B" w:rsidRDefault="00456DE2" w:rsidP="00456D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102 сессия КБМ одобрила циркуляр MSC.1/Circ.1621 по Временному руководству по безопасности судов, использующих метиловый/этиловый спирт в качестве топлива. </w:t>
      </w:r>
    </w:p>
    <w:p w:rsidR="00456DE2" w:rsidRPr="00DF4D1B" w:rsidRDefault="00456DE2" w:rsidP="00456D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6 сессия Подкомитета ССС согласилась возобновить Корреспондентскую группу по разработке технических положений о безопасности судов, использующих топливо с низкой температурой вспышки.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Проект временного руководства по безопасности судов, использующих энергетические установки с топливными элементами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Подкомитета ССС завершила работу по проекту временного руководства, принимая во внимание его временный характер и потребность дальнейшего пересмотра руководства после приобретения значительного опыта в его применении. 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Определения - Цель и функциональные требования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Подкомитета ССС согласовала определения, цель и функциональные требования, разработанные Корреспондентской группой. Они включают в себя дополнительные определения батарей топливных элементов и нижнего предела взрываемости (LEL).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Концепция помещения топливных элементов и классификация районов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рассмотрении отсутствующих положений по выбору и расположению батарей топливных элементов в зоне 1 опасных районов, исходя из классификации районов, как указывается в 4.2 проекта руководства, 7 сессия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Подкомитета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CCC согласовала текст 2.1.1.3, устанавливающий предельную температуру поверхности батареи топливных элементов 300</w:t>
      </w:r>
      <w:r w:rsidR="0044694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°C, т.е. нижнюю границу температуры применимых видов топлива в соответствии со стандартом ИСО/МЭК 80079-20-1:2017 для предотвращения самовозгорания.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Как ранее указывалось в проекте, в 2.1.1.3, 5.1.8.2, 5.8.8.1 и таблице 2 временного руководства указывалось требование по автоматическому отключению и обесточиванию подвергающейся воздействию батареи топливных элементов, если температура батареи топливных элементов превышает 300</w:t>
      </w:r>
      <w:r w:rsidR="0044694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°C или система безопасности обнаруживает концентрацию газа, составляющую 40% от нижнего предела взрываемости помещения топливных элементов.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Риск возгорания, вызываемый электрическими компонентами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Все электрическое оборудование и проводка должны быть пригодны для использования в зоне 1 опасных помещений в соответствии с применимыми международными стандартами (например, МЭК серии 60079 по классификации </w:t>
      </w:r>
      <w:r w:rsid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>опасных зон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).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Положения по пожарной безопасности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</w:t>
      </w:r>
      <w:r w:rsidR="00E27DE1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Подкомитета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CCC напомнила о своем ранее принятом решении, что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глава II-2 СОЛАС должна применяться к помещениям для батарей топливных элементов,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которые, кроме исключений, предусмотренных СОЛАС II-2, потребуют наличия перегородок класса «A-60».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Установление нижнего предела взрываемости для водорода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Подкомитета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ССС провела длительное обсуждение по вопросу установления нижних пределов взрываемости в отношении концентрации водорода в контексте выхода водорода из топливных элементов (утечек) и вероятности возрастания взрывоопасности атмосферы. Сессия рассмотрела резолюцию MSC.420 (97), таблицу 3 (Сравнение физически</w:t>
      </w:r>
      <w:r w:rsidR="00965981"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свойств водорода и метана), в которой указывается нижний предел воспламеняемости (объемн</w:t>
      </w:r>
      <w:r w:rsid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концентрация 4%) и нижний предел детонации для водорода (18</w:t>
      </w:r>
      <w:r w:rsidR="00965981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3%).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согласилась включить определение нижнего предела взрываемости (LEL) для установления пределов взрываемости в проекте временного руководства.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Обнаружение газа или пара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Было согласовано, что по причинам резервирования потребуется два прибора обнаружения газа.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Было высказано предложение, что утечки топлива должны не только запускать аварийный сигнал, но также сопровождаться автоматическим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отключением системы топливных элементов.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Однако подкомитет согласился, что любая утечка, независимо от ее происхождения, должна обнаруживаться системой аварийной сигнализации, и все предпринимаемые действия должны оставаться на усмотрение экипажа, т.к. это зависит от причины ее возникновения.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Аварийные сигналы и действия по обеспечению безопасности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Исходя из согласованного текста 2.1.1.3, в котором указывается, что предельная температура поверхности батареи топливных элементов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составляет 300</w:t>
      </w:r>
      <w:r w:rsid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°C, было согласовано, что батареи топливных элементов, сертифицированные для опасной зоны 1, если таковые имеются, должны отвечать требованиям МЭК серии 60079.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Однако, в отношении наиболее распространенных батарей топливных элементов, которые не были сертифицированы как опасная зона 1, 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>сессия Подкомитета</w:t>
      </w:r>
      <w:r w:rsid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согласилась, что установка относительно высоких аварийных значений, приближающихся к 300</w:t>
      </w:r>
      <w:r w:rsidR="009659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°C, может быть практически невозможной и потребует технической поддержки изготовителей; таким образом, 7 сессия </w:t>
      </w:r>
      <w:r w:rsidR="00E27DE1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Подкомитета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CCC не указала высокое значение аварийного сигнала, но включила требование в 5.7.7.1 и таблицу 2 в отношении мер безопасности, которые должны быть предприняты, если температура поверхности батареи топливных элементов превышает 300</w:t>
      </w:r>
      <w:r w:rsidR="009659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°C.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Разработка руководства по безопасности судов, использующих водород в качестве топлива</w:t>
      </w:r>
    </w:p>
    <w:p w:rsidR="000864BD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</w:t>
      </w:r>
      <w:r w:rsidR="00E27DE1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Подкомитета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CCC рассмотрела предложение о разработке руководства по безопасности для судов, использующих водород в качестве топлива, которое встретило значительную поддержку.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В этой связи, подкомитет согласился предоставить инструкции Рабочей группе по внесению поправок в Кодекс МГТ и разработке руководства по видам топлива с низкой температурой вспышки для организации разработки руководства по безопасности для судов, использующих водород в качестве топлива.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Разработка руководства по безопасности судов, использующих аммиак в качестве топлива</w:t>
      </w:r>
    </w:p>
    <w:p w:rsidR="000864BD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7 сессия </w:t>
      </w:r>
      <w:r w:rsidR="00E27DE1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Подкомитета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CCC отметила, что новые результаты разработки необязательного руководства по безопасности судов, использующих аммиак в качестве топлива, будут представлены на 104 сессии КБМ.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Было решено приостановить разработку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руководства в ожидании решения 104 сессии КБМ по этому вопросу. 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</w:t>
      </w:r>
      <w:r w:rsidR="00E27DE1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Подкомитета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CCC отметила информацию, представленную наблюдателем МАКО, о создании «Экспертной группы по вопросам безопасности новых технологий и топливам с нулевым/крайне незначительным содержанием углерода (EG/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SAFTech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)».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Япония выступила с предложением о сборе информации по безопасности для использования аммиака как ч</w:t>
      </w:r>
      <w:r w:rsidR="00965981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сти работы корреспондентской группы, если она будет создана, для дальнейшей разработки руководства для судов, использующих аммиак в качестве топлива.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Временн</w:t>
      </w:r>
      <w:r w:rsidR="00965981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ы</w:t>
      </w: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е руководства для рассмотрения положений по безопасности для судов, использующих сжиженный нефтяной газ в качестве топлива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</w:t>
      </w:r>
      <w:r w:rsidR="00E27DE1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Подкомитета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CCC дала задание Корреспондентской группе продолжить работы по этому вопросу.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7 сессия Подкомитета ССС согласилась возобновить межсессионную Корреспондентскую группу по разработке технических положений о безопасности судов, использующих топливо с низкой температурой вспышки.</w:t>
      </w:r>
    </w:p>
    <w:p w:rsidR="000864BD" w:rsidRPr="00DF4D1B" w:rsidRDefault="000864BD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0864BD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Поправки к кодексам МКГ и МГТ (IGC и IGF </w:t>
      </w:r>
      <w:r w:rsidR="00881A5A">
        <w:rPr>
          <w:rFonts w:ascii="Times New Roman" w:eastAsia="Times New Roman" w:hAnsi="Times New Roman" w:cs="Times New Roman"/>
          <w:b/>
          <w:i/>
          <w:sz w:val="24"/>
          <w:szCs w:val="24"/>
          <w:lang w:val="en-US" w:bidi="ru-RU"/>
        </w:rPr>
        <w:t>Codes</w:t>
      </w: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) для включения </w:t>
      </w:r>
      <w:proofErr w:type="spellStart"/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аустенитной</w:t>
      </w:r>
      <w:proofErr w:type="spellEnd"/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стали с высоким содержанием марганца и соответствующих рекомендаций по одобрению альтернативных металлических материалов для использования в условиях низких и сверхнизких температур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102 сессия КБМ одобрила циркуляр MSC.1/Circ.1622 по Руководству по принятию альтернативных металлических материалов для эксплуатации в условиях низких и сверхнизких температур на судах, перевозящих сжиженные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газы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наливом</w:t>
      </w:r>
      <w:r w:rsidR="00965981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судах, использующих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газы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или другие виды топлива с низкой температурой вспышки.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102 сессия КБМ также одобрила циркуляр MSC.1/Cir.1599/Rev.1 по Пересмотренному временному руководств</w:t>
      </w:r>
      <w:r w:rsidR="00965981">
        <w:rPr>
          <w:rFonts w:ascii="Times New Roman" w:eastAsia="Times New Roman" w:hAnsi="Times New Roman" w:cs="Times New Roman"/>
          <w:sz w:val="24"/>
          <w:szCs w:val="24"/>
          <w:lang w:bidi="ru-RU"/>
        </w:rPr>
        <w:t>у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применению высокомарганцовистой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аустенитной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стали для эксплуатации в условиях низких и сверхнизких температур.</w:t>
      </w:r>
    </w:p>
    <w:p w:rsidR="00456DE2" w:rsidRPr="00DF4D1B" w:rsidRDefault="000C3FA6" w:rsidP="000C3F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сессия </w:t>
      </w:r>
      <w:r w:rsidR="00613B47"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одкомитета ССС согласовала проект поправок к Кодексу МКГ и проект поправок к Кодексу МГТ с целью одобрения на 105 сессии КБМ.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также согласовала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последующие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поправки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 циркулярам MSC.1/Circ.1622 и MSC.1/Circ.1599/Rev.1 с целью их одобрения на 105 сессии КБМ.</w:t>
      </w:r>
    </w:p>
    <w:p w:rsidR="000864BD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также рассмотрела документы с целью подтверждения дальнейшей успешной эксплуатации т/х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Iris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путем определения причины выхода из строя, последующего повреждения танка из высокомарганцовистой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аустенитной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стали и процедур, использованных для возврата танка в полностью рабочее состояние, во избежание повторения такой ситуации.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 оценил испытание на совместимость аммиака с жидким аммиаком, представленн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>ое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Республикой Корея, и отметил, что в ходе проведения испытания не проводилось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послесварочной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термообработки для снятия внутренних напряжений в соответствии с разделом 17.12.3 Кодекса МКГ. </w:t>
      </w:r>
    </w:p>
    <w:p w:rsidR="000864BD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не смогла при</w:t>
      </w:r>
      <w:r w:rsidR="00613B47"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ти к общему мнению, можно ли обойтись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послесварочной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термообработки для снятия внутренних напряжений</w:t>
      </w:r>
      <w:r w:rsidR="00613B47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согласилась,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послесварочная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термообработка для снятия внутренних напряжений подлежит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одобрению Администрацией.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Она согласовала дополнительные требования к испытаниям, включающие предложение Франции. Таким образом, было согласовано, что эта нестандартная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процедура дополнительных испытаний потребовалась для оценки новых материалов с целью их использования для аммиака.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приняла решение возобновить работу Корреспондентской группы по пригодности высокомарганцовистой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аустенитной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стали.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0864BD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Поправки к МК</w:t>
      </w:r>
      <w:r w:rsidR="00881A5A" w:rsidRPr="00881A5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МПНГ</w:t>
      </w:r>
      <w:r w:rsidR="00881A5A" w:rsidRPr="00881A5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(</w:t>
      </w: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IMSBC </w:t>
      </w:r>
      <w:proofErr w:type="spellStart"/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Code</w:t>
      </w:r>
      <w:proofErr w:type="spellEnd"/>
      <w:r w:rsidR="00881A5A" w:rsidRPr="00881A5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)</w:t>
      </w: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и дополнения к нему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согласовала проект поправки 06-21 к Международному кодексу морской перевозки навалочных грузов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МК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МПНГ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подготовленны</w:t>
      </w:r>
      <w:r w:rsidR="00613B47"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33 сессией Редакционно-технической группы Подкомитета по опасным грузам, твердым грузам и контейнерам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E&amp;T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33)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завершения работы на 35 сессии группы E&amp;T, с целью представления проекта поправки 06-21 на 105 сессии КБМ для рассмотрения и принятия.</w:t>
      </w:r>
    </w:p>
    <w:p w:rsidR="000864BD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рассмотрела обсуждения 33 сессии группы E&amp;T в отношении предложенного номера идентификации вещества для навалочных грузов, а также предложение Китая о продолжении работы в отношении идентификационного номера для навалочных грузов, а также предложила далее рассмотреть правила нумерации, фокусируясь на прямой отсылке к каждой части МК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МПНГ. 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согласилась перенести этот вопрос на 36 сессию группы E&amp;T и пригласила заинтересованные государства-участники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международные организации принять дальнейшие предложения.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881A5A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Поправки (40-21) к МК</w:t>
      </w:r>
      <w:r w:rsidR="00881A5A" w:rsidRPr="00881A5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МПОГ</w:t>
      </w:r>
      <w:r w:rsidR="00881A5A" w:rsidRPr="00881A5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(</w:t>
      </w: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IMDG </w:t>
      </w:r>
      <w:proofErr w:type="spellStart"/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Code</w:t>
      </w:r>
      <w:proofErr w:type="spellEnd"/>
      <w:r w:rsidR="00881A5A" w:rsidRPr="00881A5A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)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102 сессия КБМ приняла поправки (40-20) к Международному кодексу морской перевозки опасных грузов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МК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МПОГ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, изложенные в резолюции MSC.477(102), которая предположительно вступит в силу с 1 июня 2022 г.</w:t>
      </w:r>
    </w:p>
    <w:p w:rsidR="000864BD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отметила дискуссии и обсуждения 34 сессии группы E&amp;T и в целом согласилась с проектом поправки 41-22 к МК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МПОГ.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Она дала указания 35 сессии группы E&amp;T завершить работу над проектом поправок (41-22) к МК</w:t>
      </w:r>
      <w:r w:rsidR="00881A5A" w:rsidRPr="00881A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МПОГ с целью его принятия на 105 сессии КБМ в 2022 г.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целом согласовала проект последующих поправок к Порядку действий при аварии для судов, перевозящих опасные грузы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), следующих из проекта поправки 41-22, поручила группе E&amp;T завершить эту работу на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35 сессии с целью последующего одобрения на 105 сессии КБМ.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4B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Потеря контейнеров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103 сессия КБМ согласилась включить в свою повестку дня, выходящую за рамки двухгодичного периода, результаты по «Разработке мер в отношении обнаружения и обязательной отчетности о потерях контейнеров в море, которые могут улучшить определение местоположения, отслеживания и нахождения таких контейнеров», назначив Подкомитет ССС координирующим органом совместно с Подкомитетом ИМО по мореплаванию, связи, поиску и спасанию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NCSR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56DE2" w:rsidRPr="00DF4D1B" w:rsidRDefault="00456DE2" w:rsidP="00C817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31 сессия группы E&amp;T представила 6 сессии 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Подкомитета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CCC набор новых требований к устройствам регистрации данных и приборам слежения на контейнерах, не перевозящих опасные грузы, которые станут новым положением 5.5.4.1 МК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МПОГ. Одной из составляющих предложения 31 сессии группы E&amp;T было требование, что такие устройства должны быть «сертифицированного безопасного типа».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ответ на запрос, сделанный 6 сессией 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Подкомитета ССС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, определение «сертифицированного безопасного типа» было рассмотрено Техническ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им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комитет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ом 104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ИСО (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ISO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TC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4 -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Грузовые контейнеры); 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его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ом 4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ISO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TC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104/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SC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4 -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Идентификация и связи); и 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его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Рабочей групп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ой 2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ISO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TC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104/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SC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4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WG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2 -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Идентификация оборудования автоматики для контейнеров и контейнерного оборудования).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Была создана специальная рабочая группа. Первоначально специальная рабочая группа включая шесть основных поставщиков приборов слежения (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Nexxiot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Globe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Tracker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Traxens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Emerson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Orbcomm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BoxPlus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Окончательный документ ИСО «рекомендации в отношении определения сертифицированного безопасного типа для устройств регистрации и приборов слежения контейнеров» рекомендует использовать три набора критериев для определения «сертифицированного безопасного типа» устройств регистрации и приборов слежения контейнеров в зависимости от контейнера, на котором они устанавливаются: контейнер-цистерна, сухогрузный или рефрижераторный контейнеры.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Также было рекомендовано применять три набора критериев независимо от того, является ли устройство постоянно закрепленным на контейнере или оно является одноразовым устройством.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Международное бюро по контейнерам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4F65AD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BIC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, Балтийская международная морская конференция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4F65AD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BIMCO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, Международная палата судоходства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ICS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Всемирный совет судоходства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 w:rsidR="004F65A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WSC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подчеркнули, что следует рассмотреть ряд факторов при определении даты начала, когда другие владельцы и пользователи устройств регистрации и приборов слежения должны будут использовать только эти приборы в соответствии с предложенными ИСО критериями, с соответствующими поправками, или иными критериями, которые могут быть включены в МК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МПОГ для определения, может ли контейнерное устройство считаться устройством «сертифицированного безопасного типа».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Предложенный ИСО критерий может стать обязательным после вступления в силу поправки 41-22 к МК</w:t>
      </w:r>
      <w:r w:rsidR="004F65AD" w:rsidRP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МПОГ.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Это должно произойти 1 января 2024 г., а традиционный период добровольного соответствия сроком 1 год начинается с 1 января 2023 г.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Однако, в документе ИСО указывается, что «предполагается, что устройства, соответствующие набору критериев, перечисленных в этом документе</w:t>
      </w:r>
      <w:r w:rsidR="001577C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должны выходить на рынок через 36 месяцев после одобрения критериев компетентными органами ИМО».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Указанные выше ассоциации рекомендовали следующие даты, относительно которых контейнерны</w:t>
      </w:r>
      <w:r w:rsidR="001577C6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устройства должны соответствовать критериям «сертифицированного безопасного типа», предложенн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>ым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ИСО, с соответствующими поправками: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Стационарные или одноразовые устройства на контейнерах, не являющихся рефрижераторными, должны будут соответствовать новым критериям с 1 января 2026 г.;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Одноразовые устройства на рефрижераторных контейнерах должны будут соответствовать новым критериям с 1 января 2026 г.; и</w:t>
      </w:r>
    </w:p>
    <w:p w:rsidR="00456DE2" w:rsidRPr="00DF4D1B" w:rsidRDefault="000864BD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Стационарные устройства на рефрижераторных контейнерах должны б</w:t>
      </w:r>
      <w:r w:rsidR="001577C6">
        <w:rPr>
          <w:rFonts w:ascii="Times New Roman" w:eastAsia="Times New Roman" w:hAnsi="Times New Roman" w:cs="Times New Roman"/>
          <w:sz w:val="24"/>
          <w:szCs w:val="24"/>
          <w:lang w:bidi="ru-RU"/>
        </w:rPr>
        <w:t>удут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соответствовать новым критериям как можно раньше после 1 января 2026 г., но в любом случае не позднее чем с 1 января 2030 г.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Германия подняла вопрос, связанный с правилом II-2/19 СОЛАС, пункт 3.2, который требует, чтобы электрооборудование, установленное в закрытых грузовых помещениях, было сертифицированного безопасного типа для использования в опасных средах, воздействию которых оно может подвергаться.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Это требование применимо к грузовым помещениям, в которых перевозятся взрывчатые вещества класса 1, воспламеняющийся газ класса 2.1 и жидкости, температура вспышки которых составляет 23</w:t>
      </w:r>
      <w:r w:rsidR="002F6F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°C или ниже (классов 3, 6.1 и 8). </w:t>
      </w:r>
    </w:p>
    <w:p w:rsidR="000864BD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Это положение также применимо к передвижным источникам возгорания, которые могут присутствовать в электрооборудовании, присоединенном к грузовой транспортной единице. </w:t>
      </w:r>
    </w:p>
    <w:p w:rsidR="00456DE2" w:rsidRPr="00DF4D1B" w:rsidRDefault="00456DE2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Нельзя исключать, что грузовые транспортные единицы, оборудованные устройствами регистрации и приборами слежения, будут загружаться в грузовое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помещение вместе с другими грузовыми единицами, перевозящими указанные опасные грузы.</w:t>
      </w:r>
    </w:p>
    <w:p w:rsidR="00456DE2" w:rsidRPr="00DF4D1B" w:rsidRDefault="000C3FA6" w:rsidP="000864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призвала заинтересованные государства-участники представить дальнейшие предложения на 8 сессию ССС и согласилась впоследствии вернуться к рассмотрению стандарта, упомянутого на 35 сессии группы E&amp;T.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C8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У</w:t>
      </w:r>
      <w:r w:rsidR="004F65A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нифицированные интерпретации</w:t>
      </w:r>
      <w:r w:rsidRPr="001C7C8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="004F65A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(УИ) </w:t>
      </w:r>
      <w:r w:rsidRPr="001C7C8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пунктов 11.3.4 и 11.3.7 МКГ </w:t>
      </w:r>
      <w:r w:rsidR="004F65A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(</w:t>
      </w:r>
      <w:r w:rsidRPr="001C7C8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IGC </w:t>
      </w:r>
      <w:proofErr w:type="spellStart"/>
      <w:r w:rsidRPr="001C7C8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Code</w:t>
      </w:r>
      <w:proofErr w:type="spellEnd"/>
      <w:r w:rsidR="004F65AD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)</w:t>
      </w:r>
      <w:r w:rsidRPr="001C7C84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(MSC.370(93))</w:t>
      </w:r>
    </w:p>
    <w:p w:rsidR="001C7C84" w:rsidRPr="00DF4D1B" w:rsidRDefault="000C3FA6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рассмотрела проект унифицированной интерпретации пунктов 11.3.4 и 11.3.7 МКГ. </w:t>
      </w:r>
    </w:p>
    <w:p w:rsidR="001C7C84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Были выражены мнения, что более приемлемо будет изложить предложения по проекту этой УИ в форме приложения к МКГ. </w:t>
      </w:r>
    </w:p>
    <w:p w:rsidR="00456DE2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 согласился не переходить к рассмотрению проекта У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призвал МАКО представить его на 8 сессии </w:t>
      </w:r>
      <w:r w:rsidR="00E27DE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Подкомитета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ССС.</w:t>
      </w:r>
    </w:p>
    <w:p w:rsidR="001C7C84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Аналогичным образом, Международная ассоциация независимых владельцев танкеров 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4F65AD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INTERTANKO</w:t>
      </w:r>
      <w:r w:rsidR="004F65A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="004F65AD"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представила проект унифицированной интерпретации по обеспечению обнаружения газа на двигателях внутреннего сгорания, работающих на газовом топливе, что приводится в пункте 16.7.3.3 МКГ. </w:t>
      </w:r>
    </w:p>
    <w:p w:rsidR="001C7C84" w:rsidRPr="00DF4D1B" w:rsidRDefault="000C3FA6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учла высказанные мнения, несмотря на поддержку того, что цель проекта УИ, в частности проекта интерпретаций пунктов 16.7.3.3 МКГ, состоит в рассмотрении противоречий между МКГ и МГТ, будет более целесообразно рассмотреть предложения к проекту данного У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форме приложения к МКГ. </w:t>
      </w:r>
    </w:p>
    <w:p w:rsidR="00456DE2" w:rsidRPr="00DF4D1B" w:rsidRDefault="001C7C84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Подкомитет согласился не продолжать работу по проекту данной УИ и призвал заинтересованные государства-участники и международные организации к совместной работе с целью выступления на 8 сессии Подкомитета ССС.</w:t>
      </w:r>
    </w:p>
    <w:p w:rsidR="00456DE2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одобрила проект циркуляра КБМ о поправке к циркуляру MSC.1/Circ.1625 по Унифицированным интерпретациям к МКГ и предложила 105 сессии КБМ одобрить ее.</w:t>
      </w:r>
    </w:p>
    <w:p w:rsidR="001C7C84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102 сессия КБМ, рассмотрев проект циркуляра КБМ по</w:t>
      </w:r>
      <w:r w:rsidR="00DF4D1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унифицированной интерпретации МКГ, отметила сомнения, выраженные в отношении проекта унифицированной интерпретации по термину «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duct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».</w:t>
      </w:r>
    </w:p>
    <w:p w:rsidR="00456DE2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102 сессия КБМ поручила Подкомитету ССС рассмотреть далее проект унифицированной интерпретации термина «</w:t>
      </w:r>
      <w:proofErr w:type="spellStart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duct</w:t>
      </w:r>
      <w:proofErr w:type="spellEnd"/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» и предложила заинтересованным государствам-участникам и международным организациям представить дальнейшие комментарии и предложения на 7 сессии ССС.</w:t>
      </w:r>
    </w:p>
    <w:p w:rsidR="00456DE2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E2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 УИ по пунктам 5.4.4 и 5.13.2.4 МКГ в отношении наружной трубы систем трубопроводов газового топлива имеет следующую формулировку:</w:t>
      </w:r>
    </w:p>
    <w:p w:rsidR="00456DE2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«Термин «</w:t>
      </w:r>
      <w:proofErr w:type="spellStart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duct</w:t>
      </w:r>
      <w:proofErr w:type="spellEnd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» в 5.4.4 и 5.13.2.4 должен включать в себя кожух оборудования в соответствии с требованиями 16.4.3.1 и 16.4.3.2 (например, кожух блока газовых клапанов (GVU)</w:t>
      </w:r>
      <w:r w:rsidR="002F6F8A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)</w:t>
      </w: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, а также кожух конструкционной трубы, предназначенной для выхода газа из внутренней трубы или оборудования. Термин «</w:t>
      </w:r>
      <w:proofErr w:type="spellStart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structural</w:t>
      </w:r>
      <w:proofErr w:type="spellEnd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 </w:t>
      </w:r>
      <w:proofErr w:type="spellStart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pipe</w:t>
      </w:r>
      <w:proofErr w:type="spellEnd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 </w:t>
      </w:r>
      <w:proofErr w:type="spellStart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duct</w:t>
      </w:r>
      <w:proofErr w:type="spellEnd"/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» должен означать наружный кожух, образующий часть конструкции, такой как конструкция корпуса, надстройки или палубной рубки, в допустимых случаях, не являющийся помещением блока газовых клапанов.</w:t>
      </w:r>
    </w:p>
    <w:p w:rsidR="00456DE2" w:rsidRPr="00DF4D1B" w:rsidRDefault="00456DE2" w:rsidP="001C7C8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Помещения блока газовых клапанов должны быть: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.1</w:t>
      </w: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  <w:t>газонепроницаемыми относительно других закрытых помещений;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.2</w:t>
      </w: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  <w:t>оборудованы механической вытяжной вентиляцией, имеющей производительность не менее 30 воздухообменов в час и выдерживающей давление меньше чем атмосферное давление; и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.3</w:t>
      </w:r>
      <w:r w:rsidRPr="001C7C84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  <w:t>способны выдерживать максимальный рост давления, возникающий в помещении в случае разрыва газовой трубы, как подтверждено документально в соответствующих расчетах с учетом устройств вентиляции.»</w:t>
      </w:r>
    </w:p>
    <w:p w:rsidR="00456DE2" w:rsidRPr="00DF4D1B" w:rsidRDefault="000C3FA6" w:rsidP="001C7C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7 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сессия Подкомитета ССС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согласилась, что приведенная выше интерпретация должна быть применима только к новым судам.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DF4D1B" w:rsidRDefault="00456DE2" w:rsidP="009015E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5EE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Корреспондентск</w:t>
      </w:r>
      <w:r w:rsidR="000231B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ие</w:t>
      </w:r>
      <w:r w:rsidRPr="009015EE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групп</w:t>
      </w:r>
      <w:r w:rsidR="000231B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ы</w:t>
      </w:r>
      <w:r w:rsidRPr="009015EE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, созданн</w:t>
      </w:r>
      <w:r w:rsidR="000231B2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ые</w:t>
      </w:r>
      <w:r w:rsidRPr="009015EE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на 7 сессии </w:t>
      </w:r>
      <w:r w:rsidR="00E27DE1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Подкомитета </w:t>
      </w:r>
      <w:r w:rsidRPr="009015EE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ССС</w:t>
      </w:r>
    </w:p>
    <w:p w:rsidR="000231B2" w:rsidRPr="000231B2" w:rsidRDefault="000231B2" w:rsidP="000231B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0231B2" w:rsidRDefault="00456DE2" w:rsidP="000C3F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B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Корреспондентская группа для рассмотрения вопроса безопасности судов, использующих виды топлива с низкой температурой вспышки</w:t>
      </w:r>
    </w:p>
    <w:p w:rsidR="000231B2" w:rsidRDefault="000231B2" w:rsidP="000231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231B2" w:rsidRPr="000231B2" w:rsidRDefault="000231B2" w:rsidP="000231B2">
      <w:pPr>
        <w:pStyle w:val="a3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0231B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Круг ведения:</w:t>
      </w:r>
    </w:p>
    <w:p w:rsidR="00456DE2" w:rsidRPr="000231B2" w:rsidRDefault="000C3FA6" w:rsidP="000231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Рассмотреть, как наилучшим образом вести разработку проекта поправок к МГТ в части положений о безопасности судов, использующих виды топлива с низкой температурой вспышки;</w:t>
      </w:r>
    </w:p>
    <w:p w:rsidR="00456DE2" w:rsidRPr="000231B2" w:rsidRDefault="000C3FA6" w:rsidP="000231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Далее разрабатывать временное руководство для рассмотрения положений по безопасности для судов, использующих сжиженный нефтяной газ в качестве топлива;</w:t>
      </w:r>
    </w:p>
    <w:p w:rsidR="000C3FA6" w:rsidRPr="000231B2" w:rsidRDefault="000C3FA6" w:rsidP="000231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Завершить проект УИ в отношении части A-1, пункт 9.2.2 МГТ; </w:t>
      </w:r>
    </w:p>
    <w:p w:rsidR="00456DE2" w:rsidRPr="000231B2" w:rsidRDefault="000C3FA6" w:rsidP="000231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Разработать проект поправок к пункту 9.3.1 МГТ;</w:t>
      </w:r>
    </w:p>
    <w:p w:rsidR="00456DE2" w:rsidRPr="000231B2" w:rsidRDefault="000C3FA6" w:rsidP="000231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Подготовить проект поправок к пунктам 4.2.2 и 8.4.1 - 8.4.3 МГТ и проект поправок к части A-1, пунктам 5.12.1, 6.9.1.1, 9.8.1, 9.8.2, 9.8.4, а также части C-1, пункт 18.4.1.1.1 МГТ;</w:t>
      </w:r>
    </w:p>
    <w:p w:rsidR="00456DE2" w:rsidRPr="000231B2" w:rsidRDefault="000C3FA6" w:rsidP="000231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Начать разработку руководства по безопасности судов, использующих водород в качестве топлива;</w:t>
      </w:r>
    </w:p>
    <w:p w:rsidR="00456DE2" w:rsidRPr="000231B2" w:rsidRDefault="000C3FA6" w:rsidP="000231B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Собрать информацию о безопасном использовании аммиака в качестве топлива.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DE2" w:rsidRPr="000231B2" w:rsidRDefault="00456DE2" w:rsidP="000C3F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B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Корреспондентская группа по пригодности вы</w:t>
      </w:r>
      <w:bookmarkStart w:id="0" w:name="_GoBack"/>
      <w:bookmarkEnd w:id="0"/>
      <w:r w:rsidRPr="000231B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сокомарганцовистой </w:t>
      </w:r>
      <w:proofErr w:type="spellStart"/>
      <w:r w:rsidRPr="000231B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аустенитной</w:t>
      </w:r>
      <w:proofErr w:type="spellEnd"/>
      <w:r w:rsidRPr="000231B2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стали</w:t>
      </w:r>
    </w:p>
    <w:p w:rsidR="000231B2" w:rsidRDefault="000231B2" w:rsidP="000231B2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56DE2" w:rsidRPr="000231B2" w:rsidRDefault="004F65AD" w:rsidP="000231B2">
      <w:pPr>
        <w:pStyle w:val="a3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0231B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Круг ведения:</w:t>
      </w:r>
    </w:p>
    <w:p w:rsidR="00456DE2" w:rsidRPr="00DF4D1B" w:rsidRDefault="000C3FA6" w:rsidP="000C3FA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Рассмотреть результаты испытаний, которые должны проводиться в соответствии с дополнительными требованиями к испытаниям, для их оценки с целью принятия решения в отношении пригодности высокомарганцовистой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аустенитной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стали для использования для аммиака;</w:t>
      </w:r>
    </w:p>
    <w:p w:rsidR="00456DE2" w:rsidRPr="00DF4D1B" w:rsidRDefault="000C3FA6" w:rsidP="000C3FA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Рассмотреть допустимость результатов испытаний и принять решение, следует ли далее вносить поправки в циркуляр MSC.1/Circ.1599/Rev.1 для включения амм</w:t>
      </w:r>
      <w:r w:rsidR="00D3038C">
        <w:rPr>
          <w:rFonts w:ascii="Times New Roman" w:eastAsia="Times New Roman" w:hAnsi="Times New Roman" w:cs="Times New Roman"/>
          <w:sz w:val="24"/>
          <w:szCs w:val="24"/>
          <w:lang w:bidi="ru-RU"/>
        </w:rPr>
        <w:t>иака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56DE2" w:rsidRPr="00DF4D1B" w:rsidRDefault="00456DE2" w:rsidP="00456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6DE2" w:rsidRPr="00DF4D1B" w:rsidSect="0013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D42"/>
    <w:multiLevelType w:val="hybridMultilevel"/>
    <w:tmpl w:val="A956B1B6"/>
    <w:lvl w:ilvl="0" w:tplc="DC3A3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851945"/>
    <w:multiLevelType w:val="hybridMultilevel"/>
    <w:tmpl w:val="CEC26538"/>
    <w:lvl w:ilvl="0" w:tplc="E3805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9"/>
    <w:rsid w:val="000231B2"/>
    <w:rsid w:val="00036F95"/>
    <w:rsid w:val="000864BD"/>
    <w:rsid w:val="000C3FA6"/>
    <w:rsid w:val="0011657C"/>
    <w:rsid w:val="0013471F"/>
    <w:rsid w:val="001451D0"/>
    <w:rsid w:val="001577C6"/>
    <w:rsid w:val="00167513"/>
    <w:rsid w:val="001C7C84"/>
    <w:rsid w:val="001D21A3"/>
    <w:rsid w:val="0024730E"/>
    <w:rsid w:val="002A1D3B"/>
    <w:rsid w:val="002F6F8A"/>
    <w:rsid w:val="0033097B"/>
    <w:rsid w:val="003F128D"/>
    <w:rsid w:val="00446949"/>
    <w:rsid w:val="00456DE2"/>
    <w:rsid w:val="004F65AD"/>
    <w:rsid w:val="005140F6"/>
    <w:rsid w:val="006043ED"/>
    <w:rsid w:val="00613B47"/>
    <w:rsid w:val="00625679"/>
    <w:rsid w:val="00747922"/>
    <w:rsid w:val="00881A5A"/>
    <w:rsid w:val="009015EE"/>
    <w:rsid w:val="00965981"/>
    <w:rsid w:val="00A5342D"/>
    <w:rsid w:val="00AD3398"/>
    <w:rsid w:val="00AE23D9"/>
    <w:rsid w:val="00C653AB"/>
    <w:rsid w:val="00C817FB"/>
    <w:rsid w:val="00D3038C"/>
    <w:rsid w:val="00D716D7"/>
    <w:rsid w:val="00DF4D1B"/>
    <w:rsid w:val="00E24C89"/>
    <w:rsid w:val="00E27DE1"/>
    <w:rsid w:val="00EE0054"/>
    <w:rsid w:val="00F46ECA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E507"/>
  <w15:docId w15:val="{6B38E952-4A49-4C4A-93F1-DFF8114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D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4469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694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694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69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694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Легуша Сергей Федорович</dc:creator>
  <cp:lastModifiedBy>Mikhail Musonov (RS)</cp:lastModifiedBy>
  <cp:revision>2</cp:revision>
  <dcterms:created xsi:type="dcterms:W3CDTF">2021-12-30T08:23:00Z</dcterms:created>
  <dcterms:modified xsi:type="dcterms:W3CDTF">2021-12-30T08:23:00Z</dcterms:modified>
</cp:coreProperties>
</file>