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2E" w:rsidRPr="003B153E" w:rsidRDefault="008B5B2E" w:rsidP="008B5B2E">
      <w:pPr>
        <w:ind w:firstLine="708"/>
        <w:jc w:val="both"/>
        <w:rPr>
          <w:b/>
          <w:i/>
        </w:rPr>
      </w:pPr>
      <w:bookmarkStart w:id="0" w:name="_GoBack"/>
      <w:bookmarkEnd w:id="0"/>
      <w:r>
        <w:br/>
      </w:r>
      <w:r>
        <w:rPr>
          <w:b/>
          <w:i/>
        </w:rPr>
        <w:t xml:space="preserve">14 </w:t>
      </w:r>
      <w:r w:rsidR="00D718FB">
        <w:rPr>
          <w:b/>
          <w:i/>
        </w:rPr>
        <w:t>–</w:t>
      </w:r>
      <w:r>
        <w:rPr>
          <w:b/>
          <w:i/>
        </w:rPr>
        <w:t xml:space="preserve"> 18 марта 2016 года в штаб-квартире Международ</w:t>
      </w:r>
      <w:r w:rsidR="00D718FB">
        <w:rPr>
          <w:b/>
          <w:i/>
        </w:rPr>
        <w:t>ной морской организации (ИМО) в </w:t>
      </w:r>
      <w:r>
        <w:rPr>
          <w:b/>
          <w:i/>
        </w:rPr>
        <w:t>Лондоне состоялась 3-я сессия Подкомитета по судовым системами и оборудованию (SSE)</w:t>
      </w:r>
      <w:r w:rsidR="00D718FB">
        <w:rPr>
          <w:b/>
          <w:i/>
        </w:rPr>
        <w:t>.</w:t>
      </w:r>
      <w:r>
        <w:rPr>
          <w:b/>
          <w:i/>
        </w:rPr>
        <w:t> </w:t>
      </w:r>
    </w:p>
    <w:p w:rsidR="008B5B2E" w:rsidRPr="008B5B2E" w:rsidRDefault="008B5B2E" w:rsidP="008B5B2E">
      <w:pPr>
        <w:jc w:val="both"/>
      </w:pPr>
    </w:p>
    <w:p w:rsidR="008B5B2E" w:rsidRPr="0099165C" w:rsidRDefault="008B5B2E" w:rsidP="008B5B2E">
      <w:pPr>
        <w:jc w:val="both"/>
        <w:rPr>
          <w:b/>
        </w:rPr>
      </w:pPr>
      <w:r>
        <w:t> </w:t>
      </w:r>
      <w:r>
        <w:br/>
      </w:r>
      <w:r>
        <w:rPr>
          <w:b/>
        </w:rPr>
        <w:t>Подкомитет:</w:t>
      </w:r>
    </w:p>
    <w:p w:rsidR="008B5B2E" w:rsidRDefault="008B5B2E" w:rsidP="008B5B2E">
      <w:pPr>
        <w:jc w:val="both"/>
      </w:pPr>
      <w:r>
        <w:t> </w:t>
      </w:r>
      <w:r>
        <w:br/>
        <w:t xml:space="preserve">- продолжил обсуждение вопросов касательно разработки проекта </w:t>
      </w:r>
      <w:r w:rsidR="00D718FB">
        <w:t>функциональных требований к </w:t>
      </w:r>
      <w:r>
        <w:t>Главе III Конвенции СОЛАС;</w:t>
      </w:r>
    </w:p>
    <w:p w:rsidR="008B5B2E" w:rsidRDefault="008B5B2E" w:rsidP="008B5B2E">
      <w:pPr>
        <w:jc w:val="both"/>
      </w:pPr>
      <w:r>
        <w:br/>
        <w:t>- согласовал проект поправок к Правилам III/3 и III/20 в отношении эксплуатационной готовности, техническому обслуживанию и проверкам в целях введения положений Циркуляра MSC.1/Circ.1206 (ред. 1) в качестве обязательных к применению;</w:t>
      </w:r>
    </w:p>
    <w:p w:rsidR="008B5B2E" w:rsidRDefault="008B5B2E" w:rsidP="008B5B2E">
      <w:pPr>
        <w:jc w:val="both"/>
      </w:pPr>
      <w:r>
        <w:t> </w:t>
      </w:r>
      <w:r>
        <w:br/>
        <w:t>- согласовал проект Резолюции Комитета по безопасности на море (КБМ), касающейся требований к проведению технического обслуживания, глубокого осмотра, эксплуатационных испытаний, ремонта и капитального ремонта спасательных и дежурных шлюпок, спусковых и разобщающего устройств для предоставления на одобрение на 96-й сессии КБМ совместно с вышеуказанными поправками к Конвенции СОЛАС;</w:t>
      </w:r>
    </w:p>
    <w:p w:rsidR="00385A82" w:rsidRDefault="008B5B2E" w:rsidP="00385A82">
      <w:pPr>
        <w:jc w:val="both"/>
      </w:pPr>
      <w:r>
        <w:br/>
        <w:t>- при этом Подкомитет рассмотрел и утвердил комментарии Рабочей группы, указанные в проекте резолюции, о том, что:</w:t>
      </w:r>
    </w:p>
    <w:p w:rsidR="00385A82" w:rsidRPr="00385A82" w:rsidRDefault="008B5B2E" w:rsidP="00385A82">
      <w:pPr>
        <w:jc w:val="both"/>
        <w:rPr>
          <w:i/>
        </w:rPr>
      </w:pPr>
      <w:r>
        <w:br/>
      </w:r>
      <w:r>
        <w:rPr>
          <w:i/>
        </w:rPr>
        <w:t>1. Еженедельные и ежемесячные проверки и плановое техническое обслуживание, предусмотренные в руководстве (руководствах) по техническому обслуживанию оборудования, должны выполняться силами авторизованных поставщиков услуг либо судовым персоналом под руководством старшего должностного лица в соответствии с руководством (руководствами) по техническому обслуживанию оборудования.</w:t>
      </w:r>
    </w:p>
    <w:p w:rsidR="00385A82" w:rsidRPr="00385A82" w:rsidRDefault="008B5B2E" w:rsidP="00385A82">
      <w:pPr>
        <w:jc w:val="both"/>
        <w:rPr>
          <w:i/>
        </w:rPr>
      </w:pPr>
      <w:r>
        <w:rPr>
          <w:i/>
        </w:rPr>
        <w:t> </w:t>
      </w:r>
      <w:r>
        <w:rPr>
          <w:i/>
        </w:rPr>
        <w:br/>
        <w:t>2. Ежегодные глубокие осмотры и эксплуатационные испытания, указанные в разделе 6.2, должны выполняться аттестованным персоналом изготовителя оборудования либо авторизованного поставщика услуг в соответствии с положениями разделов 7 и 8.  В качестве поставщика услуг может выступать организация, эксплуатирующая судно, при условии наличия у нее соответствующего разрешения в соответствии с положениями разделов 3 и 7.</w:t>
      </w:r>
    </w:p>
    <w:p w:rsidR="00385A82" w:rsidRPr="00385A82" w:rsidRDefault="008B5B2E" w:rsidP="00385A82">
      <w:pPr>
        <w:jc w:val="both"/>
        <w:rPr>
          <w:i/>
        </w:rPr>
      </w:pPr>
      <w:r>
        <w:rPr>
          <w:i/>
        </w:rPr>
        <w:t> </w:t>
      </w:r>
      <w:r>
        <w:rPr>
          <w:i/>
        </w:rPr>
        <w:br/>
        <w:t>3. Глубокие осмотры, проводимые раз в пять лет, любые капитальные ремонты, эксплуатационные испытания в условиях перегрузки2, указанные в разделе 6.3, а также ремонт, должны выполняться аттестованным персоналом</w:t>
      </w:r>
      <w:r w:rsidR="00D718FB">
        <w:rPr>
          <w:i/>
        </w:rPr>
        <w:t xml:space="preserve"> изготовителя оборудования либо </w:t>
      </w:r>
      <w:r>
        <w:rPr>
          <w:i/>
        </w:rPr>
        <w:t>авторизованного поставщика услуг в соответствии с положениями разделов 7 и 8. </w:t>
      </w:r>
    </w:p>
    <w:p w:rsidR="00385A82" w:rsidRDefault="008B5B2E" w:rsidP="00385A82">
      <w:pPr>
        <w:ind w:firstLine="708"/>
        <w:jc w:val="both"/>
      </w:pPr>
      <w:r>
        <w:br/>
        <w:t>- согласовал проект поправок к Кодексу ИМО по конструкции и оборудованию плавучих буровых установок (ПБУ) от 2009 года в отношении требований, предъявляемых к спасательным средствам, согласно которым стандартная масса человека в спасательной шлюпке принимается равной 95 кг (по-прежнему указывается в квадратных скобках);</w:t>
      </w:r>
      <w:r>
        <w:br/>
      </w:r>
      <w:r>
        <w:br/>
        <w:t>- согласовал проект поправок к Руководству по альтернативным ко</w:t>
      </w:r>
      <w:r w:rsidR="00D718FB">
        <w:t>нструкциям, мерам и </w:t>
      </w:r>
      <w:r>
        <w:t>устройствам в целях обеспечения пожарной безопасности (MSC/</w:t>
      </w:r>
      <w:r w:rsidR="00D718FB">
        <w:t>Circ.1002), согласно которому в </w:t>
      </w:r>
      <w:r>
        <w:t>Руководство по выбору критериев эффективности работы спасательных устройств добавляется приложение; </w:t>
      </w:r>
    </w:p>
    <w:p w:rsidR="00385A82" w:rsidRDefault="008B5B2E" w:rsidP="00385A82">
      <w:pPr>
        <w:jc w:val="both"/>
      </w:pPr>
      <w:r>
        <w:br/>
        <w:t xml:space="preserve">- в целом согласовал проект поправок к Главам 1, 6, 9 и </w:t>
      </w:r>
      <w:r w:rsidR="00D718FB">
        <w:t>14 Кодекса ИМО по конструкции и </w:t>
      </w:r>
      <w:r>
        <w:t>оборудованию плавучих буровых установок (ПБУ) от 2009 года, которые, помимо прочего, вводят класс противопожарных перекрытий H60;</w:t>
      </w:r>
    </w:p>
    <w:p w:rsidR="008B5B2E" w:rsidRPr="008B5B2E" w:rsidRDefault="008B5B2E" w:rsidP="00385A82">
      <w:pPr>
        <w:jc w:val="both"/>
      </w:pPr>
      <w:r>
        <w:lastRenderedPageBreak/>
        <w:br/>
        <w:t>- согласовал проект поправок к Правилу II-2/9.4.1.3 Конвенции СОЛАС, т.е</w:t>
      </w:r>
      <w:r w:rsidR="00D718FB">
        <w:t>.</w:t>
      </w:r>
      <w:r>
        <w:t xml:space="preserve"> на судах, перевозящих не более 36 пассажиров, окна которых обращены к спасатель</w:t>
      </w:r>
      <w:r w:rsidR="00D718FB">
        <w:t>ным шлюпкам, аварийным скатам и </w:t>
      </w:r>
      <w:r>
        <w:t>местам посадки, а также окна, которые расположены ниже этих мест, должны иметь огнестойкость, по меньшей мере, класса А-0 (применяется только в отношении новых судов);</w:t>
      </w:r>
    </w:p>
    <w:p w:rsidR="00385A82" w:rsidRPr="00385A82" w:rsidRDefault="008B5B2E" w:rsidP="008B5B2E">
      <w:pPr>
        <w:jc w:val="both"/>
      </w:pPr>
      <w:r>
        <w:br/>
        <w:t>- согласовал проект Унифицированной интерпретации к Главе 8 Кодекса по системам противопожарной безопасности (FSS) и Пересмотренного руководства по одобрению спринклерных систем, эквивалентных указанным в Правиле II-2/12 Конвенции СОЛАС (Резолюция A.800(19)), с изменениями и поправками, изложенными в</w:t>
      </w:r>
      <w:r w:rsidR="00D718FB">
        <w:t xml:space="preserve"> Резолюции MSC.265(84), которая </w:t>
      </w:r>
      <w:r>
        <w:t>подтверждает существующий номинальный метод о</w:t>
      </w:r>
      <w:r w:rsidR="006060F3">
        <w:t>пределения размеров насосов для </w:t>
      </w:r>
      <w:r>
        <w:t>расчета производительности спринклерных систем;</w:t>
      </w:r>
    </w:p>
    <w:p w:rsidR="00385A82" w:rsidRDefault="008B5B2E" w:rsidP="008B5B2E">
      <w:pPr>
        <w:jc w:val="both"/>
      </w:pPr>
      <w:r>
        <w:br/>
        <w:t>- согласовал проект циркуляра КБМ в части обозначения путей эвакуации и мест расположения аварийно-спасательного оборудования на борту судна, согласно которому рекомендуется применять положения стандартов серии ИСО 24409 до введения знаков и обозначений, предусмотренных в стандартах серии ИСО 24409, в пересмотренную версию Резолюции A.760(18);</w:t>
      </w:r>
      <w:r>
        <w:br/>
      </w:r>
      <w:r>
        <w:br/>
        <w:t>- согласовал вопрос об отсутствии необходимости назн</w:t>
      </w:r>
      <w:r w:rsidR="00D718FB">
        <w:t>ачения класса огнестойкости для </w:t>
      </w:r>
      <w:r>
        <w:t>переборок, предусмотренных между рулевой рубкой и санузлом, находящимся полностью внутри рулевой рубки;</w:t>
      </w:r>
    </w:p>
    <w:p w:rsidR="00385A82" w:rsidRDefault="00385A82" w:rsidP="008B5B2E">
      <w:pPr>
        <w:jc w:val="both"/>
      </w:pPr>
    </w:p>
    <w:p w:rsidR="00385A82" w:rsidRDefault="00385A82" w:rsidP="008B5B2E">
      <w:pPr>
        <w:jc w:val="both"/>
      </w:pPr>
      <w:r>
        <w:t>- согласовал вопрос о том, что соответствие требованиям Правила II-2/20-1 Конвенции СОЛАС должны обеспечивать только ролкеры;</w:t>
      </w:r>
    </w:p>
    <w:p w:rsidR="00385A82" w:rsidRDefault="008B5B2E" w:rsidP="008B5B2E">
      <w:pPr>
        <w:jc w:val="both"/>
      </w:pPr>
      <w:r>
        <w:br/>
        <w:t>- выразил мнение о том, что штурманская рубка, доступ в кото</w:t>
      </w:r>
      <w:r w:rsidR="00D718FB">
        <w:t>рую может обеспечиваться только </w:t>
      </w:r>
      <w:r>
        <w:t>из рулевой рубки, должна рассматриваться как часть поста управления в отношении требований таблиц 9.3, 9.5 и 9.7 Правила II-2/9 Конвенции СОЛАС, при этом огнестойкость переборки, отделяющей рулевую рубку от такой штурманской рубки, должна быть класса B-0;</w:t>
      </w:r>
    </w:p>
    <w:p w:rsidR="00385A82" w:rsidRDefault="008B5B2E" w:rsidP="008B5B2E">
      <w:pPr>
        <w:jc w:val="both"/>
      </w:pPr>
      <w:r>
        <w:t> </w:t>
      </w:r>
      <w:r>
        <w:br/>
        <w:t>- утвердил текст проекта Унифицированной интерпретации к Правилам II-2/5 и II-2/7 Конвенции СОЛАС (пересмотренная версия УИ SC 148 по управлению работой вентиляторных доводчиков), согласован проект циркуляра КБМ по применению унифицированных интерпретаций к Главе II-2 Конвенции СОЛАС;</w:t>
      </w:r>
    </w:p>
    <w:p w:rsidR="00385A82" w:rsidRPr="00385A82" w:rsidRDefault="008B5B2E" w:rsidP="008B5B2E">
      <w:pPr>
        <w:jc w:val="both"/>
      </w:pPr>
      <w:r>
        <w:t> </w:t>
      </w:r>
      <w:r>
        <w:br/>
        <w:t>- утвердил применение положений Правила II-2/9.2.4 Конвенции СОЛАС ко всем отдельным помещениям внутри грузовой зоны танкеров;</w:t>
      </w:r>
    </w:p>
    <w:p w:rsidR="00385A82" w:rsidRPr="00385A82" w:rsidRDefault="008B5B2E" w:rsidP="008B5B2E">
      <w:pPr>
        <w:jc w:val="both"/>
      </w:pPr>
      <w:r>
        <w:br/>
        <w:t>- согласовал пересмотренную версию УИ SC213 в части спаса</w:t>
      </w:r>
      <w:r w:rsidR="00D718FB">
        <w:t>тельных плотов, расположенных в </w:t>
      </w:r>
      <w:r>
        <w:t>удаленных местах;</w:t>
      </w:r>
    </w:p>
    <w:p w:rsidR="00385A82" w:rsidRDefault="008B5B2E" w:rsidP="008B5B2E">
      <w:pPr>
        <w:jc w:val="both"/>
      </w:pPr>
      <w:r>
        <w:br/>
        <w:t>- согласовал УИ SC272 в части обеспечения подачи инертного газа в помещения двойного корпуса танкеров; </w:t>
      </w:r>
    </w:p>
    <w:p w:rsidR="00385A82" w:rsidRDefault="008B5B2E" w:rsidP="008B5B2E">
      <w:pPr>
        <w:jc w:val="both"/>
      </w:pPr>
      <w:r>
        <w:br/>
        <w:t>- согласовал УИ SC79 по источникам воспламенения на борту судов, перевозящих опасные грузы;</w:t>
      </w:r>
    </w:p>
    <w:p w:rsidR="00D718FB" w:rsidRDefault="008B5B2E" w:rsidP="008B5B2E">
      <w:pPr>
        <w:jc w:val="both"/>
      </w:pPr>
      <w:r>
        <w:br/>
        <w:t>- согласовал УИ SC275 касательно обеспечения необходимого</w:t>
      </w:r>
      <w:r w:rsidR="00D718FB">
        <w:t xml:space="preserve"> количества запасных баллонов с </w:t>
      </w:r>
      <w:r>
        <w:t xml:space="preserve">воздухом для снаряжения пожарного; </w:t>
      </w:r>
    </w:p>
    <w:p w:rsidR="008B5B2E" w:rsidRPr="008B5B2E" w:rsidRDefault="008B5B2E" w:rsidP="008B5B2E">
      <w:pPr>
        <w:jc w:val="both"/>
      </w:pPr>
      <w:r>
        <w:br/>
        <w:t>- согласовал проект поправок к Международному кодексу по б</w:t>
      </w:r>
      <w:r w:rsidR="00D718FB">
        <w:t>езопасности скоростных судов от </w:t>
      </w:r>
      <w:r>
        <w:t xml:space="preserve">1994 и 2000 года, подтвердив, что скоростные судна длиной менее 30 м (по Международному кодексу по безопасности скоростных судов от 2009 года) и 20 </w:t>
      </w:r>
      <w:r w:rsidR="00D718FB">
        <w:t>м (по Международному кодексу по </w:t>
      </w:r>
      <w:r>
        <w:t>безопасности скоростных судов от 1994 года) мо</w:t>
      </w:r>
      <w:r w:rsidR="00D718FB">
        <w:t>гут</w:t>
      </w:r>
      <w:r>
        <w:t xml:space="preserve"> быть освобожден</w:t>
      </w:r>
      <w:r w:rsidR="00D718FB">
        <w:t>ы</w:t>
      </w:r>
      <w:r>
        <w:t xml:space="preserve"> от необходимости наличия на  борту спасательной шлюпки;</w:t>
      </w:r>
    </w:p>
    <w:p w:rsidR="00385A82" w:rsidRDefault="008B5B2E" w:rsidP="008B5B2E">
      <w:pPr>
        <w:jc w:val="both"/>
      </w:pPr>
      <w:r>
        <w:lastRenderedPageBreak/>
        <w:t> </w:t>
      </w:r>
      <w:r>
        <w:br/>
        <w:t xml:space="preserve">- порекомендовал разработку проекта циркуляра КБМ, настаивающего на досрочном введении данных поправок в Международной кодекс по безопасности </w:t>
      </w:r>
      <w:r w:rsidR="00D718FB">
        <w:t>скоростных судов от 1994 и 2000 </w:t>
      </w:r>
      <w:r>
        <w:t>года.</w:t>
      </w:r>
    </w:p>
    <w:p w:rsidR="00385A82" w:rsidRPr="0099165C" w:rsidRDefault="0099165C" w:rsidP="0099165C">
      <w:pPr>
        <w:tabs>
          <w:tab w:val="left" w:pos="4145"/>
        </w:tabs>
        <w:jc w:val="both"/>
        <w:rPr>
          <w:b/>
          <w:i/>
        </w:rPr>
      </w:pPr>
      <w:r>
        <w:tab/>
      </w:r>
      <w:r>
        <w:br/>
      </w:r>
      <w:r>
        <w:rPr>
          <w:b/>
          <w:i/>
        </w:rPr>
        <w:t>4-ю сессию Подкомитета по судовым системам и оборудованию (SSE) предварительно планируется провести с 20 по 24 марта 2017 года</w:t>
      </w:r>
    </w:p>
    <w:p w:rsidR="00385A82" w:rsidRDefault="008B5B2E" w:rsidP="008B5B2E">
      <w:pPr>
        <w:jc w:val="both"/>
      </w:pPr>
      <w:r>
        <w:br/>
        <w:t>На предстоящей 4-й сессии Подкомитета по судовым системам и оборудованию (SSE) Подкомитету будет предложено согласовать вопро</w:t>
      </w:r>
      <w:r w:rsidR="006060F3">
        <w:t>с об учреждении рабочих и (или) </w:t>
      </w:r>
      <w:r>
        <w:t>редакционных групп по решению вопросов по темам, выбираемым из нижеследующего перечня:</w:t>
      </w:r>
    </w:p>
    <w:p w:rsidR="00385A82" w:rsidRDefault="008B5B2E" w:rsidP="008B5B2E">
      <w:pPr>
        <w:jc w:val="both"/>
      </w:pPr>
      <w:r>
        <w:t> </w:t>
      </w:r>
      <w:r>
        <w:br/>
        <w:t>.1 спасательные средства;</w:t>
      </w:r>
    </w:p>
    <w:p w:rsidR="00385A82" w:rsidRDefault="008B5B2E" w:rsidP="008B5B2E">
      <w:pPr>
        <w:jc w:val="both"/>
      </w:pPr>
      <w:r>
        <w:t>.2 пересмотр Кодекса ИМО по конструкции и оборудованию плавучих буровых установок (ПБУ),  Международного кодекса по спасательному оборудованию на судах и Циркуляра MSC.1/Circ.1206  (Ред.1);</w:t>
      </w:r>
    </w:p>
    <w:p w:rsidR="00385A82" w:rsidRDefault="008B5B2E" w:rsidP="008B5B2E">
      <w:pPr>
        <w:jc w:val="both"/>
      </w:pPr>
      <w:r>
        <w:t>.3. судовые грузоподъемные устройства и лебедки;</w:t>
      </w:r>
    </w:p>
    <w:p w:rsidR="00385A82" w:rsidRDefault="008B5B2E" w:rsidP="008B5B2E">
      <w:pPr>
        <w:jc w:val="both"/>
      </w:pPr>
      <w:r>
        <w:t>.4 системы динамического позиционирования (ДП);</w:t>
      </w:r>
    </w:p>
    <w:p w:rsidR="00385A82" w:rsidRDefault="008B5B2E" w:rsidP="008B5B2E">
      <w:pPr>
        <w:jc w:val="both"/>
      </w:pPr>
      <w:r>
        <w:t>.5 противопожарная защита.</w:t>
      </w:r>
    </w:p>
    <w:p w:rsidR="00385A82" w:rsidRDefault="008B5B2E" w:rsidP="008B5B2E">
      <w:pPr>
        <w:jc w:val="both"/>
      </w:pPr>
      <w:r>
        <w:br/>
        <w:t>ОТЧЕТ О РЕДАКЦИОННЫХ ГРУППАХ, УЧРЕЖДЕННЫХ В ХОД</w:t>
      </w:r>
      <w:r w:rsidR="00D718FB">
        <w:t>Е 3-Й СЕССИИ ПОДКОМИТЕТА ИМО ПО </w:t>
      </w:r>
      <w:r>
        <w:t>СУДОВЫМ СИСТЕМАМ И ОБОРУДОВАНИЮ (SSE), ПРЕ</w:t>
      </w:r>
      <w:r w:rsidR="00D718FB">
        <w:t>ДОСТАВЛЯЕМЫЙ НА РАССМОТРЕНИЕ НА </w:t>
      </w:r>
      <w:r>
        <w:t>4-Й СЕССИИ</w:t>
      </w:r>
    </w:p>
    <w:p w:rsidR="00385A82" w:rsidRDefault="008B5B2E" w:rsidP="008B5B2E">
      <w:pPr>
        <w:jc w:val="both"/>
      </w:pPr>
      <w:r>
        <w:t> .1 спасательные средства;</w:t>
      </w:r>
    </w:p>
    <w:p w:rsidR="00385A82" w:rsidRDefault="008B5B2E" w:rsidP="008B5B2E">
      <w:pPr>
        <w:jc w:val="both"/>
      </w:pPr>
      <w:r>
        <w:t>.2. судовые грузоподъемные устройства и лебедки;</w:t>
      </w:r>
    </w:p>
    <w:p w:rsidR="00385A82" w:rsidRDefault="008B5B2E" w:rsidP="008B5B2E">
      <w:pPr>
        <w:jc w:val="both"/>
      </w:pPr>
      <w:r>
        <w:t>.3 системы динамического позиционирования (ДП);</w:t>
      </w:r>
    </w:p>
    <w:p w:rsidR="00B423AD" w:rsidRPr="00385A82" w:rsidRDefault="008B5B2E" w:rsidP="008B5B2E">
      <w:pPr>
        <w:jc w:val="both"/>
      </w:pPr>
      <w:r>
        <w:t>.4 противоударная защита водонепроницаемых дверей.</w:t>
      </w:r>
    </w:p>
    <w:sectPr w:rsidR="00B423AD" w:rsidRPr="00385A82" w:rsidSect="00E0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32"/>
    <w:rsid w:val="00385A82"/>
    <w:rsid w:val="003B092F"/>
    <w:rsid w:val="003B153E"/>
    <w:rsid w:val="00527028"/>
    <w:rsid w:val="006060F3"/>
    <w:rsid w:val="008B5B2E"/>
    <w:rsid w:val="0099165C"/>
    <w:rsid w:val="00B27332"/>
    <w:rsid w:val="00B423AD"/>
    <w:rsid w:val="00D718FB"/>
    <w:rsid w:val="00E0293B"/>
    <w:rsid w:val="00E1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EBBD7-B0E6-4979-8D96-AABD64B7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93B"/>
  </w:style>
  <w:style w:type="paragraph" w:styleId="1">
    <w:name w:val="heading 1"/>
    <w:basedOn w:val="a"/>
    <w:link w:val="10"/>
    <w:uiPriority w:val="9"/>
    <w:qFormat/>
    <w:rsid w:val="008B5B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5B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5B2E"/>
  </w:style>
  <w:style w:type="paragraph" w:styleId="a4">
    <w:name w:val="List Paragraph"/>
    <w:basedOn w:val="a"/>
    <w:uiPriority w:val="34"/>
    <w:qFormat/>
    <w:rsid w:val="0038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Легуша Сергей Федорович</dc:creator>
  <cp:keywords/>
  <dc:description/>
  <cp:lastModifiedBy>Ковзова Марианна Федоровна</cp:lastModifiedBy>
  <cp:revision>2</cp:revision>
  <dcterms:created xsi:type="dcterms:W3CDTF">2025-03-04T13:50:00Z</dcterms:created>
  <dcterms:modified xsi:type="dcterms:W3CDTF">2025-03-04T13:50:00Z</dcterms:modified>
</cp:coreProperties>
</file>