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354" w:rsidRPr="003D3835" w:rsidRDefault="00952411" w:rsidP="003836FF">
      <w:pPr>
        <w:pStyle w:val="a4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3D3835">
        <w:rPr>
          <w:b/>
          <w:sz w:val="28"/>
        </w:rPr>
        <w:t>98-я сессия Комитета по безопасности на м</w:t>
      </w:r>
      <w:r w:rsidRPr="00477E01">
        <w:rPr>
          <w:b/>
          <w:sz w:val="28"/>
        </w:rPr>
        <w:t>оре (КБМ) И</w:t>
      </w:r>
      <w:r w:rsidRPr="003D3835">
        <w:rPr>
          <w:b/>
          <w:sz w:val="28"/>
        </w:rPr>
        <w:t xml:space="preserve">МО </w:t>
      </w:r>
    </w:p>
    <w:p w:rsidR="0066444A" w:rsidRPr="003D3835" w:rsidRDefault="00952411" w:rsidP="003836FF">
      <w:pPr>
        <w:pStyle w:val="a4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3D3835">
        <w:rPr>
          <w:b/>
          <w:sz w:val="28"/>
        </w:rPr>
        <w:t>с 7 по 16 июня 2017 года</w:t>
      </w:r>
    </w:p>
    <w:p w:rsidR="00D93354" w:rsidRPr="003D3835" w:rsidRDefault="0066444A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Обязательные документы</w:t>
      </w:r>
    </w:p>
    <w:p w:rsidR="0066444A" w:rsidRPr="003D3835" w:rsidRDefault="00C81F83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Нижеуказанные поправки должны считаться принятыми 1 июля 2019 года и вступить в силу 1 января 2020 года: </w:t>
      </w:r>
    </w:p>
    <w:p w:rsidR="0066444A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Резолюция MSC.421(98) – Поправки к Международной конвенции по охране человеческой жизни на море (СОЛАС) от 1974 г. с поправками; </w:t>
      </w:r>
    </w:p>
    <w:p w:rsidR="0066444A" w:rsidRPr="003D3835" w:rsidRDefault="0066444A" w:rsidP="003836FF">
      <w:pPr>
        <w:pStyle w:val="a4"/>
        <w:tabs>
          <w:tab w:val="left" w:pos="993"/>
        </w:tabs>
        <w:ind w:firstLine="709"/>
        <w:jc w:val="both"/>
      </w:pPr>
      <w:r w:rsidRPr="003D3835">
        <w:t>Резолюция MSC.429(98) – Пересмотренные Пояснительные записки к Главе II-1 Конвенции СОЛАС по правилам деления на отсеки и остойчивости в поврежденном состоянии; </w:t>
      </w:r>
    </w:p>
    <w:p w:rsidR="0066444A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Резолюция MSC.422(98) – Поправки к Международному кодексу безопасности судов, использующих газы и другое топливо с низкой температурой воспламенения (Кодекс IGF);</w:t>
      </w:r>
    </w:p>
    <w:p w:rsidR="0066444A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Резо</w:t>
      </w:r>
      <w:r w:rsidR="003D3835">
        <w:t xml:space="preserve">люция MSC.423(98) – Поправки к </w:t>
      </w:r>
      <w:r w:rsidRPr="003D3835">
        <w:t>Международному кодексу по безопасности скоростных судов от 1994 года (Кодекс HSC от 1994 г.);</w:t>
      </w:r>
    </w:p>
    <w:p w:rsidR="0066444A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Резолюция MSC.424(98) – Поправки к Международному кодексу по безопасности скоростных судов от 2000 года (Кодекс HSC от 2000 г.);</w:t>
      </w:r>
    </w:p>
    <w:p w:rsidR="0066444A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Резолюция MSC.425(98) – Поправки к Международному кодексу по спасательным средствам и устройствам (LSA);</w:t>
      </w:r>
    </w:p>
    <w:p w:rsidR="0095241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Резолюция MSC.426(98) – Поправки к Международному кодексу морской перевозки навалочных грузов (МКМПНГ).  Нижеуказанные поправки должны считаться принятыми 1 июля 2018 года и вступить в силу 1 января 2019 года. Государства могут применять нижеуказанные поправки на добровольной основе с 1 января 2018 года:</w:t>
      </w:r>
    </w:p>
    <w:p w:rsidR="00BE63A4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• поправки к пунктам 4.5.1 и 4.5.2 МКМПНГ, отражающие ответственность грузоотправителя за обеспечение проведения испытания по определению транспортабельного предела влажности (ТПВ) навалочного груза;</w:t>
      </w:r>
    </w:p>
    <w:p w:rsidR="0095241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• поправки, связанные с классификацией и декларированием грузов, относящимся к опасным для морской среды.</w:t>
      </w:r>
    </w:p>
    <w:p w:rsidR="00C81F83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Необязательные документы, одобренные на 98-й сессии КБМ: </w:t>
      </w:r>
    </w:p>
    <w:p w:rsidR="007571D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Резолюция MSC.427(98) – поправки к Пересмотренной рекомендации по испытаниям спасательных средств (Резолюция MSC.81(70) с поправками) для приведения в соответствие соответствующих положений Пересмотренной рекомендации по испытаниям спасательных средств с соответствующими поправками к Кодексу LSA, принятому Резолюцией MSC.425 (98). </w:t>
      </w:r>
    </w:p>
    <w:p w:rsidR="007571D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Циркуляр MSC.1/Circ.1564 – Пересмотренные указания по водонепроницаемым дверям на пассажирских судах, которые могут быть открыты во время плавания. Государствам-членам предлагается применять указанные Пересмотренные указания в отношении пассажирских судов, построенных после даты вступления в силу соответствующих поправок к Правилу II-1/22 Конвенции СОЛАС (Резолюция MSC.421(98)).</w:t>
      </w:r>
    </w:p>
    <w:p w:rsidR="003105D6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Циркуляр MSC.1/Circ.1395/Rev.3 – Перечни навалочных грузов, для которых допускается не применять стационарную систему газового пожаротушения или для которых применение стационарной системы газового пожаротушения является неэффективным, что является последующей поправкой в положения Циркуляра MSC.1/Circ.1395/Rev.2 по отношению к проектам поправок (04-17) к МКМПНГ (Циркуляр MSC.426(98)). </w:t>
      </w:r>
    </w:p>
    <w:p w:rsidR="003105D6" w:rsidRPr="003D3835" w:rsidRDefault="003105D6" w:rsidP="003836FF">
      <w:pPr>
        <w:pStyle w:val="a4"/>
        <w:tabs>
          <w:tab w:val="left" w:pos="993"/>
        </w:tabs>
        <w:ind w:firstLine="709"/>
        <w:jc w:val="both"/>
      </w:pPr>
      <w:r w:rsidRPr="003D3835">
        <w:t>Циркуляр MSC.1/Circ.1566 – Добровольное досрочное применение поправок к Правилам II-2/1 и II-2/10 Конвенции СОЛАС, принятым в соответствии с Резолюцией MSC.409(97) – пункт 5.1.2.2 Правила 10: для котлов, предназначенных для хозяйственных нужд, мощностью ме</w:t>
      </w:r>
      <w:r w:rsidR="008E6D6B">
        <w:t>нее 175 </w:t>
      </w:r>
      <w:r w:rsidRPr="003D3835">
        <w:t>кВт или для котлов, защищенных стационарными системами пожаротушения местного применения с использованием воды в соответствии с требованиями пункта 5.6 применение одобренного пенного огнетушителя объемом 135 л не требуется.</w:t>
      </w:r>
    </w:p>
    <w:p w:rsidR="003105D6" w:rsidRPr="003D3835" w:rsidRDefault="003105D6" w:rsidP="003836FF">
      <w:pPr>
        <w:pStyle w:val="a4"/>
        <w:tabs>
          <w:tab w:val="left" w:pos="993"/>
        </w:tabs>
        <w:ind w:firstLine="709"/>
        <w:jc w:val="both"/>
      </w:pPr>
      <w:r w:rsidRPr="003D3835">
        <w:t>Циркуляр MSC.1/Circ.1567 – Уведомление о внесении поправок в Правило II-1/12.5.1 Конвенции СОЛАС;</w:t>
      </w:r>
    </w:p>
    <w:p w:rsidR="003105D6" w:rsidRPr="003D3835" w:rsidRDefault="003105D6" w:rsidP="003836FF">
      <w:pPr>
        <w:pStyle w:val="a4"/>
        <w:tabs>
          <w:tab w:val="left" w:pos="993"/>
        </w:tabs>
        <w:ind w:firstLine="709"/>
        <w:jc w:val="both"/>
      </w:pPr>
      <w:r w:rsidRPr="003D3835">
        <w:t>Циркуляр MSC.1/Circ.1568 – Уведомление о внесении поправки в пункт 11.3.2 Кодекса IGF; </w:t>
      </w:r>
    </w:p>
    <w:p w:rsidR="003105D6" w:rsidRPr="003D3835" w:rsidRDefault="003105D6" w:rsidP="003836FF">
      <w:pPr>
        <w:pStyle w:val="a4"/>
        <w:tabs>
          <w:tab w:val="left" w:pos="993"/>
        </w:tabs>
        <w:ind w:firstLine="709"/>
        <w:jc w:val="both"/>
      </w:pPr>
      <w:r w:rsidRPr="003D3835">
        <w:lastRenderedPageBreak/>
        <w:t>Циркуляр MSC.1/Circ.1569 – Уведомление о внесении поправок к пунктам 8.10.1.5 и 8.10.1.6 Международного кодекса по безопасности скоростных судов от 1994 и 2000 года.</w:t>
      </w:r>
    </w:p>
    <w:p w:rsidR="007571D1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</w:pPr>
      <w:r w:rsidRPr="003D3835">
        <w:rPr>
          <w:b/>
          <w:i/>
        </w:rPr>
        <w:t>Сноска в поправках к Части А Кодекса остойчивости в неповрежденном состоянии от 2008 года</w:t>
      </w:r>
    </w:p>
    <w:p w:rsidR="007571D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Отметив факт отсутствия необходимости наличия сноски в заверенной копии подлинного текста поправок к обязательным документам, в ходе 98-й сессии КБМ согласился с необходимостью исключения сноски в поправках к Части А Кодекса остойчивости в неповрежденном состоянии от 2008 года, принятых в соответствии с Резолюциями MSC.413(97) и MSC.414(97).</w:t>
      </w:r>
    </w:p>
    <w:p w:rsidR="007571D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В ходе 98-й сессии КБМ одобрил проект Поправок к Части А Кодекса остойчивости в неповрежденном состоянии и соответствующий проект резолюций КБМ (на основании Конвенции СОЛАС от 1974 года и на основании Протокола 1988 года к Международной конвенции о грузовой марке) с целью их последующего принятия в ходе 99-й сессии КБМ. </w:t>
      </w:r>
    </w:p>
    <w:p w:rsidR="003105D6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Досрочное применение документов ИМО</w:t>
      </w:r>
    </w:p>
    <w:p w:rsidR="003105D6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В ходе 97-й сессии КБМ было предложено рассмотреть вопросы, связанные с досрочным применением поправок к обязательным документам. На пленарном заседании специальной Рабочей группе было поручено разработать проект Руководства по добровольному досрочному применению поправок к Конвенции СОЛАС от 1974 года и соответствующим обязательным документам, а также соответствующий проект циркуляра КБМ.</w:t>
      </w:r>
    </w:p>
    <w:p w:rsidR="003105D6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Учитывая тот факт, что в ходе 97-й сессии КБМ многокр</w:t>
      </w:r>
      <w:r w:rsidRPr="00477E01">
        <w:t>атно заявлялось о необход</w:t>
      </w:r>
      <w:r w:rsidRPr="003D3835">
        <w:t>имости соблюдения четырехлетнего цикла вступления в силу поправок к Конвенции СОЛАС и соответствующим обязательным документам (Циркуляр MSC.1/Circ.1481), Рабочая группа утвердила отсутствие необходимости регулярного досрочного применения таких поправок на добровольной основе за исключением очень редких случаев. Любое решение касательно предложения о добровольном досрочном применении поправок должно быть четко отражено в протоколе заседания Комитета, а в случае положительного решения Комитет должен выпустить циркуляр КБМ с предложением о добровольном досрочном применении.</w:t>
      </w:r>
    </w:p>
    <w:p w:rsidR="0095241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Рабочая группа также согласилась с внесением следующего текста в Процедуры контроля судов государством порта от 2011 года (Резолюция A.1052(27)):</w:t>
      </w:r>
    </w:p>
    <w:p w:rsidR="00952411" w:rsidRPr="003D3835" w:rsidRDefault="00952411" w:rsidP="003836FF">
      <w:pPr>
        <w:pStyle w:val="a4"/>
        <w:tabs>
          <w:tab w:val="left" w:pos="993"/>
        </w:tabs>
        <w:ind w:firstLine="709"/>
        <w:jc w:val="both"/>
        <w:rPr>
          <w:i/>
        </w:rPr>
      </w:pPr>
      <w:r w:rsidRPr="003D3835">
        <w:rPr>
          <w:i/>
        </w:rPr>
        <w:t>«В отношении добровольного досрочного применения поправок к Конвенции СОЛАС от 1974 года и (или) соответствующим обязательным документам, Стороны должны учитывать положения Руководства по добровольному досрочному применению поправок к Конвенции СОЛАС от 1974 года и соответствующим обязательным документам».</w:t>
      </w:r>
    </w:p>
    <w:p w:rsidR="003105D6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В ходе 98-й сессии КБМ был одобрен Циркуляр MSC.1/Circ.1565 – Руководство по добровольному досрочному применению поправок к Конвенции СОЛАС от 1974 года и соответствующим обязательным документам и поддержано решение о внесении поправок в текст Процедур контроля судов государством порта от 2011 года (Резолюция A.1052(27)). </w:t>
      </w:r>
    </w:p>
    <w:p w:rsidR="003105D6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КБМ поручил внести ссылку на это Руководство в существующий перечень документов, предусмотренный в Приложении 18 к Процедурам, в ходе проведения 4-й сессии Подкомитета по осуществлению документов ИМО (III).</w:t>
      </w:r>
    </w:p>
    <w:p w:rsidR="000F5859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Меры по усилению безопасности на море</w:t>
      </w:r>
    </w:p>
    <w:p w:rsidR="000F5859" w:rsidRPr="003D3835" w:rsidRDefault="008E6D6B" w:rsidP="003836FF">
      <w:pPr>
        <w:pStyle w:val="a4"/>
        <w:tabs>
          <w:tab w:val="left" w:pos="993"/>
        </w:tabs>
        <w:ind w:firstLine="709"/>
        <w:jc w:val="both"/>
      </w:pPr>
      <w:r w:rsidRPr="003D3835">
        <w:t>В ходе 96-й сессии КБМ, рассмотрев необходимость повышения осведомленности о киберугрозах и уязвимости, согласовал Циркуляр MSC.1/Circ.1526 касательно Временного руководства по управлению киберугрозами на море, условившись, что данный циркуляр может быть в дальнейшем заменен единым циркуляром КБМ/КУФ после завершения работы 41-й сессии Коми</w:t>
      </w:r>
      <w:r>
        <w:t>тета по упрощению формальностей</w:t>
      </w:r>
      <w:r w:rsidRPr="003D3835">
        <w:t>.</w:t>
      </w:r>
    </w:p>
    <w:p w:rsidR="000F5859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В ходе 9</w:t>
      </w:r>
      <w:r w:rsidR="003D3835">
        <w:t>8</w:t>
      </w:r>
      <w:r w:rsidRPr="003D3835">
        <w:t>-й сессии КБМ одобрил Циркуляр MSC-FAL.1/Circ.3 касательно Руководства по управлению киберугрозами в море. </w:t>
      </w:r>
      <w:r w:rsidR="00F07B6F" w:rsidRPr="00424C65">
        <w:t xml:space="preserve"> </w:t>
      </w:r>
      <w:r w:rsidRPr="003D3835">
        <w:t>На 9</w:t>
      </w:r>
      <w:r w:rsidR="003D3835">
        <w:t>8</w:t>
      </w:r>
      <w:r w:rsidRPr="003D3835">
        <w:t>-й сессии КБМ далее одобрил Резолюцию MSC.428(98) касательно управления киберугрозами в море в Системах управления безопасностью.</w:t>
      </w:r>
    </w:p>
    <w:p w:rsidR="000F5859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В данном циркуляре подчеркивается необходимость учета киберугроз на борту судов по аналогии с другими эксплуатационными рисками, в частности, посредством применения Системы </w:t>
      </w:r>
      <w:r w:rsidRPr="003D3835">
        <w:lastRenderedPageBreak/>
        <w:t>управления безопасностью, отвечающей требованиям МКУБ. Государствам-членам предлагается обеспечить надлежащий учет киберугроз в системах управления безопасностью не позднее первой ежегодной проверки Свидетельства о соответствии Компании после 1 января 2021 года.</w:t>
      </w:r>
    </w:p>
    <w:p w:rsidR="000F5859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Целевые стандарты постройки новых судов</w:t>
      </w:r>
    </w:p>
    <w:p w:rsidR="005C2C85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было предложено рассмотреть отчеты по результатам проведения окончательных аудитов в части устранения несоответствий и предложение о пересмотре порядка обеспечения контроля Руководства по проверке соответствия целевым стандартам (Резолюция MSC.296(87)).</w:t>
      </w:r>
    </w:p>
    <w:p w:rsidR="005C2C85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96-й сессии КБМ были рассмотрены отчеты по окончательному аудиту соответствия целевым стандартам, подготовленные пятью группами аудита, учрежденными для этих целей, в составе двух отчетов по аудиту пакетов общих документов МАКО 1 и 2, включая Общие правила МАКО по конструкции и прочности и 12 отдельных отчетов, подготовленных признанными организациями-членами МАКО. На 96-й сессии КБМ подтвердил, что предоставленные сведения демонстрируют соответствие Правил МАКО целевым стандартам и согласовал необходимость устранения шести обнаруженных несоответствий. </w:t>
      </w:r>
    </w:p>
    <w:p w:rsidR="005C2C85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6 февраля 2017 года отчет об окончательном аудите был передан Генеральному секретарю группой по аудиту.  </w:t>
      </w:r>
    </w:p>
    <w:p w:rsidR="005837AC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</w:t>
      </w:r>
      <w:r w:rsidR="003D3835">
        <w:t>8</w:t>
      </w:r>
      <w:r w:rsidRPr="003D3835">
        <w:t>-й сессии КБМ подтвердил факт отсутствия необходимости внесения изменений в текущий порядок обеспечения проверки ввиду его соответствия основным принципам проведения аудитов на соответствие целевым стандартам.</w:t>
      </w:r>
    </w:p>
    <w:p w:rsidR="005837AC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Был выполнен пересмотр текста Части А, касающейся процесса контроля Руководства по проверке соответствия целевым стандартам. Поэтому на 98-й сессии КБМ был по существу утвержден проект Части А с последующей редакторской правкой. Был разработан текст, отражающий трехгодичный цикл проведения проверки. Государства-члены и международные организации могут направить в адрес Комитета предложения по данному вопросу до принятия проекта Пересмотренного руководства, которое планируется выполнить на 100-й сессии КБМ.</w:t>
      </w:r>
    </w:p>
    <w:p w:rsidR="00F07B6F" w:rsidRPr="00424C6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С учетом внесения процедур по </w:t>
      </w:r>
      <w:r w:rsidR="00477E01">
        <w:t>от</w:t>
      </w:r>
      <w:r w:rsidRPr="003D3835">
        <w:t>работке замечаний, на 98-й сессии КБМ согласовал факт внесения в проект Пересмотренного Руководства нового подраздела, в основном, направленного на рассмотрение тех случаев, в которых отмеченные замечания не обязательно приводят к внесению изменений в правила.</w:t>
      </w:r>
    </w:p>
    <w:p w:rsidR="007F6EA6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Ежегодная периодичность проверок наряду с возможным большим объемом вносимых изменений, а также запросы на проведение  первоначальных проверок заново могут ограничивать имеющиеся в наличии ресурсы. Поэтому в график и расписание деятельности для выполнения схемы проверки целевых стандартов были внесены изменения. </w:t>
      </w:r>
    </w:p>
    <w:p w:rsidR="007F6EA6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</w:pPr>
      <w:r w:rsidRPr="003D3835">
        <w:rPr>
          <w:b/>
          <w:i/>
        </w:rPr>
        <w:t>Перевозка грузов и контейнеров</w:t>
      </w:r>
      <w:r w:rsidRPr="003D3835">
        <w:t xml:space="preserve"> </w:t>
      </w:r>
    </w:p>
    <w:p w:rsidR="007F6EA6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В ходе 3-й сессии Подкомитет по перевозке грузов и контейнеров (CCC) разрешил редакционно-технической группе (E&amp;T) на своем 26-м заседании окончательно согласовать проект поправок к МКМПНГ для предоставления на рассмотрение на 98-й сессии КБМ с целью его последующего принятия.</w:t>
      </w:r>
    </w:p>
    <w:p w:rsidR="007F6EA6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В ходе 3-й сессии Подкомитет по перевозке грузов и контейнеров (CCC) поручил редакционно-технической группе (E&amp;T) подготовить в ходе своего 26-го заседания соответствующие рекомендации и циркуляры для предоставление на одобрение в ходе 98-й сессии КБМ (MSC.1/Circ.1395/Rev.2) вместе с принятием поправок к МКМПНГ.</w:t>
      </w:r>
    </w:p>
    <w:p w:rsidR="009E04C4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 xml:space="preserve">Предотвращение и борьба с загрязнениями </w:t>
      </w:r>
    </w:p>
    <w:p w:rsidR="009E04C4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при условии последующего утверждения на 71-й сессии КЗМС согласовал следующее:</w:t>
      </w:r>
    </w:p>
    <w:p w:rsidR="00952411" w:rsidRPr="003D3835" w:rsidRDefault="00D93354" w:rsidP="003836F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D3835">
        <w:t>проект поправок к Международному кодексу перевозок опасных химических грузов наливом (IBC), касающихся пересмотренной главы 21, ожидающими окончательного согласования главами 17 и 18 Кодекса, для последующего предоставления на рассмотрение всех трех пересмотренных глав в целях их принятия;</w:t>
      </w:r>
    </w:p>
    <w:p w:rsidR="00952411" w:rsidRPr="003D3835" w:rsidRDefault="00D93354" w:rsidP="003836F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3D3835">
        <w:lastRenderedPageBreak/>
        <w:t>проект резолюции Ассамблеи по Кодексу по транспортировке и перегрузке опасных и вредных жидких веществ наливом судами обеспечения морских платформ для предоставления на 30-й сессии Ассамблеи ИМО (в ноябре 2017 года) в целях его последующего принятия.</w:t>
      </w:r>
    </w:p>
    <w:p w:rsidR="009E04C4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 xml:space="preserve">Человеческий фактор, подготовка моряков и несение вахты </w:t>
      </w:r>
    </w:p>
    <w:p w:rsidR="00952411" w:rsidRPr="003D3835" w:rsidRDefault="009E04C4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одобрил:</w:t>
      </w:r>
    </w:p>
    <w:p w:rsidR="00952411" w:rsidRPr="003D3835" w:rsidRDefault="00952411" w:rsidP="003836F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D3835">
        <w:t>Циркуляр MSC.1/Circ.1503/Rev.1 – ЭКНИС. Руководство по общепринятым нормам;</w:t>
      </w:r>
    </w:p>
    <w:p w:rsidR="00952411" w:rsidRPr="003D3835" w:rsidRDefault="00952411" w:rsidP="003836F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D3835">
        <w:t>Циркуляр MSC.1/Circ.738/Rev.2 – Руководство по подготовке операторов систем динамического позиционирования (ДП);</w:t>
      </w:r>
    </w:p>
    <w:p w:rsidR="00952411" w:rsidRPr="003D3835" w:rsidRDefault="00952411" w:rsidP="003836F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D3835">
        <w:t>Циркуляр STCW.6/Circ.13 – Поправки к Части В Кодекса по подготовке, дипломированию моряков и несению вахты (Кодекс ПДНВ) в раздел B-V/f, касающийся указаний по подготовке операторов систем динамического позиционирования (ДП);</w:t>
      </w:r>
    </w:p>
    <w:p w:rsidR="00952411" w:rsidRPr="003D3835" w:rsidRDefault="00952411" w:rsidP="003836F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3D3835">
        <w:t>Циркуляр STCW.7/Circ.24/Rev.1 – Руководство для Сторон, Администраций, Органов государственного портового контроля, признанных организаций и прочих соответствующих сторон по выполнению требований в соответствии с Конвенцией ПДНВ от 19</w:t>
      </w:r>
      <w:r w:rsidR="003D3835">
        <w:t>78</w:t>
      </w:r>
      <w:r w:rsidRPr="003D3835">
        <w:t xml:space="preserve"> года, с поправками, аннулирующее Циркуляры MSC/Circ.1030 и MSC/Circ.1032;</w:t>
      </w:r>
    </w:p>
    <w:p w:rsidR="00952411" w:rsidRPr="008E6D6B" w:rsidRDefault="00450D3F" w:rsidP="003836F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8E6D6B">
        <w:t>Проект Руководства для уполномоченных инспекторов государственного портового контроля касательно сертификации моряков, времени отдыха и состава экипажа и представил его на рассмотрение на 4-й сессии Подкомитета по осуществлению документов ИМО (III) для внесения в объем текущей работы по пересмотру Резолюции A.1052(27), касающейся Процедур контроля судов государством порта от 2011 года.</w:t>
      </w:r>
    </w:p>
    <w:p w:rsidR="00F853DA" w:rsidRPr="003D3835" w:rsidRDefault="00F853DA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Проектирование и конструкция судна</w:t>
      </w:r>
    </w:p>
    <w:p w:rsidR="00952411" w:rsidRPr="003D3835" w:rsidRDefault="00F853DA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одобрил:</w:t>
      </w:r>
    </w:p>
    <w:p w:rsidR="00952411" w:rsidRPr="003D3835" w:rsidRDefault="00F853DA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Пересмотренные Пояснительные записки к Главе II-1 Конвенции СОЛАС по правилам деления на отсеки и остойчивости в поврежденном состоянии и соответствующий проект резолюции КБМ вместе с принятием проекта поправок к Главе II-1 Конвенции СОЛАС по правилам деления на отсеки и остойчивости в поврежденном состоянии.</w:t>
      </w:r>
    </w:p>
    <w:p w:rsidR="00952411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</w:pPr>
      <w:r w:rsidRPr="003D3835">
        <w:t>На 98-й сессии КБМ одобрил: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Проект поправок к Правилам II-1/1 и II-1/8-1 Конвенции СОЛАС по автоматизированным средствам обеспечения контроля остойчивости в случае затопления для существующих пассажирских судов в целях его последующего принятия на 99-й сессии КБМ;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MSC.1/Circ.1570 – Поправки к Разделу 3 Руководства по планам борьбы за живучесть и информации капитану (Циркуляр MSC.1/Circ.1245);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MSC.1/Circ.1571 – Унифицированные интерпретации Главы II-1 Конвенции СОЛАС вместе с одобрением проекта пересмотренных Пояснительных записок к Главе II-1 Конвенции СОЛАС по правилам деления на отсеки и остойчивости в поврежденном состоянии;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MSC.1/Circ.1572 – Унифицированные интерпретации Глав II-1 и XII Конвенции СОЛАС относительно технических положений по средствам доступа для проведения инспекций (Резолюция MSC. 158(78)) и эксплуатационных требований к датчикам уровня воды на навалочных судах и на грузовых судах с одним трюмом, которые не являются навалочными судами (Резолюция MSC.188(79));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MSC.1/Circ.1464/Rev.1/ Corr.2 – Унифицированные интерпретации Глав II-1 и XII Конвенции СОЛАС относительно технических положений по средствам доступа для проведения инспекций (Резолюция MSC. 1</w:t>
      </w:r>
      <w:r w:rsidR="008E6D6B">
        <w:t>5</w:t>
      </w:r>
      <w:r w:rsidRPr="003D3835">
        <w:t>8(78)) и эксплуатационных требований к датчикам уровня воды на навалочных судах и на грузовых судах с одним трюмом, которые не являются навалочными судами (Резолюция MSC.188(79));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MSC/Circ.686/Rev.1 – Руководство по средствам доступа к конструкциям для осмотра и технического обслуживания нефтеналивных и навалочных судов (Правило XI-1/2 Конвенции СОЛАС);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 xml:space="preserve">Циркуляр MSC.1/Circ.1573 – Унифицированная интерпретация Правил II-1/2.20 и II-2/3.21 Конвенции СОЛАС </w:t>
      </w:r>
      <w:r w:rsidR="008E6D6B" w:rsidRPr="003D3835">
        <w:t>(</w:t>
      </w:r>
      <w:r w:rsidRPr="003D3835">
        <w:t xml:space="preserve">использование гидростатических характеристик на ровном киле для </w:t>
      </w:r>
      <w:r w:rsidRPr="003D3835">
        <w:lastRenderedPageBreak/>
        <w:t>определения нормативного дедвейта, который необходимо вносить в соответствующие конвенционные свидетельства);</w:t>
      </w:r>
    </w:p>
    <w:p w:rsidR="00F853DA" w:rsidRPr="003D3835" w:rsidRDefault="00870BA0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Циркуляр MSC.1/Circ.1574 – </w:t>
      </w:r>
      <w:r w:rsidR="00952411" w:rsidRPr="003D3835">
        <w:t>Временное руководство по применению стеклопластика в судовых конструкциях. Вопросы пожарной безопасности. Это руководство необходимо использовать в качестве дополнения к Руководству по одобрению альтернативных и равнозначных вариантов в различных документах ИМО (Циркуляр MSC.1/Circ.1455) и Руководству по альтернативным конструкциям и устройствам в целях обеспечения пожарной безопасности (Циркуляр MSC.1/Circ.1002, с поправками в соответствии с Циркуляром MSC.1/Circ.1552) при одобрении компонентов из стеклопластика в судовых конструкциях.</w:t>
      </w:r>
    </w:p>
    <w:p w:rsidR="00F853DA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подтвердил тот факт, 4 года вполне достаточно для накопления Администрациями опыта применения Временного руководства с последующим его пересмотром. В этой связи, в Циркуляр MSC.1/Circ.1574 в пункт повестки дня "Любые другие вопросы" был внесен пункт, призывающий Государства-члены и международные организации направить соответствующие сведения, замечания, комментарии и рекомендации на основании практического опыта применения Временного руководства в адрес Подкомитета по проектированию и конструкции судна.</w:t>
      </w:r>
    </w:p>
    <w:p w:rsidR="00F853DA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Полярный кодекс вступил в силу с 1 января 2017 года для новых судов и будет применяться в отношении существующих судов, предназначенных для эксплуатации в полярных водах, начиная с 1 января 2018 года. Положения Полярного кодекса не применяются в отношении грузовых судов валовой вместимостью от 300 до 500, при этом основные международные стандарты безопасности на рыболовные суда и прогулочные яхты отсутствуют. </w:t>
      </w:r>
    </w:p>
    <w:p w:rsidR="00F853DA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4-й сессии Подкомитета по проектированию и конструкции судна был поднят вопрос о необходимости принятия решения о сроках начала разработки второго этапа Полярного кодекса. Некоторые делегации предложили возможный вариант развития второго этапа работ, включая предварительный анализ возможных способов применения данного Кодекса, принятого в соответствии с Резолюциями MSC.385(94) и MEPC.264(68) к судам, не подпадающим под действие Конвенции СОЛАС.</w:t>
      </w:r>
    </w:p>
    <w:p w:rsidR="00BC3D98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С учетом насущности данного вопроса на 98-й сессии КБМ согласился исключить данный вопрос из повестки дня по истечении двухгодичного периода и перенести его на рассмотрение в рамках двухгодичной повестки дня на 2018-2019 гг. и предварительной повестки дня на 99-й сессии КБМ с последующим принятием стратегического решения касательно объема применения второго этапа Полярного кодекса, определением его характера (обязательного или рекомендательного) и типов рассматриваемых судов. </w:t>
      </w:r>
    </w:p>
    <w:p w:rsidR="00BC3D98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Безопасность мореплавания, радиосвязь, поиск и спас</w:t>
      </w:r>
      <w:r w:rsidR="00E90A15" w:rsidRPr="00FB19AF">
        <w:rPr>
          <w:b/>
          <w:i/>
        </w:rPr>
        <w:t>а</w:t>
      </w:r>
      <w:r w:rsidRPr="003D3835">
        <w:rPr>
          <w:b/>
          <w:i/>
        </w:rPr>
        <w:t xml:space="preserve">ние </w:t>
      </w:r>
    </w:p>
    <w:p w:rsidR="00952411" w:rsidRPr="003D3835" w:rsidRDefault="00BC3D98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одобрил: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Резолюция MSC.430(98) – Поправки к пересмотренным эксплуатационным требованиям к аппаратуре связи УБПЧ для приема навигационных и метеорологических предупреждений и выдачи срочных сообщений на суда (Навтекс) (Резолюция MSC.148(77));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Резолюция MSC.431(98) – Поправки к пересмотренным эксплуатационным требованиям к аппаратуре расширенного группового вызова (РГВ) (Резолюция MSC.306(87));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Резолюция MSC.432(98) – Поправки к пересмотренным эксплуатационным требованиям к мультисистемным бортовым радионавигационным приемникам (Резолюция MSC.401(95));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Резолюция MSC.434(98) – Эксплуатационные требования к судовой земной станции для применения в ГМССБ.</w:t>
      </w:r>
    </w:p>
    <w:p w:rsidR="003836FF" w:rsidRDefault="003836FF">
      <w:r>
        <w:br w:type="page"/>
      </w:r>
    </w:p>
    <w:p w:rsidR="00952411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</w:pPr>
      <w:r w:rsidRPr="003D3835">
        <w:lastRenderedPageBreak/>
        <w:t>На 98-й сессии КБМ одобрил: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MSC.1/Circ.1575 – Руководство по обработке данных о месте, маршруте и времени (PNT);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MSC.1/Circ.1576 – Унифицированная интерпретация положений Конвенции СОЛАС касательно ежегодных испытаний регистраторов рейсовых данных, упрощенных регистраторов рейсовых данных, оборудования автоматической идентификационной системы и аварийных радиобуев;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MSC.1/Circ.1577 – Унифицированная интерпретация по применению положений Конвенции о международных правилах предупреждения столкновений судов в море в части установки бортовых огней;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MSC.1/Circ.1460/Rev.2 – Руководство по технической годности аппаратуры радиосвязи, устанавливаемой и используемой на борту судов.</w:t>
      </w:r>
    </w:p>
    <w:p w:rsidR="00BC3D98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также одобрил в целях последующего принятия на 99-й сессии КБМ проект попр</w:t>
      </w:r>
      <w:r w:rsidR="008E6D6B">
        <w:t xml:space="preserve">авок к Главе IV и к приложению </w:t>
      </w:r>
      <w:r w:rsidRPr="003D3835">
        <w:t>Конвенции СОЛАС (сертификаты) с включением дополнительных мобильных спутниковых систем, а также проект последующих поправок в Международный кодекс по безопасности скоростных судов от 1994 и 2000 года и Кодекс по безопасности судов специального назначения (ССН).</w:t>
      </w:r>
    </w:p>
    <w:p w:rsidR="00BC3D98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Судовые системы и оборудование</w:t>
      </w:r>
    </w:p>
    <w:p w:rsidR="005C352B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На 98-й сессии КБМ рассмотрел проект функциональных требований и предполагаемых эксплуатационных показателей для Главы III Конвенции СОЛАС в целях выполнения их последующей разработки для определения показателей в количественном выражении, которые могут способствовать дальнейшей разработке подхода целевых стандартов с позиций уровня безопасности. </w:t>
      </w:r>
    </w:p>
    <w:p w:rsidR="005C352B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С учетом принципов, касающихся "Функциональных требований (уровень II)", представленных в Общем руководстве по разработке целевых стандартов ИМО (MSC.1/Circ. 1394/Rev.1), и для оптимального применения предполагаемых эксплуатационных показателей, предусмотренных специальными функциональными требованиями при проверке соответствия уровню III, необходимо иметь в наличии измеримые критерии. В этой связи на 98-й сессии КБМ поручил Подкомитету по судовым системам и оборудованию (SSE) в ходе работы 4-й сессии количественно описать проект функциональных требований (предполагаемых эксплуатационных показателей) для Главы III Конвенции СОЛАС. </w:t>
      </w:r>
    </w:p>
    <w:p w:rsidR="008E7D69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Функциональные требования должны быть сформулированы четко, однозначно и объективно, а предполагаемые эксплуатационные показатели должны быть выражены в максимально возможной точной степени, желательно, в количественном отношении. </w:t>
      </w:r>
    </w:p>
    <w:p w:rsidR="008E7D69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В ходе 98-й сессии КБМ также поручил Подкомитету по судовым системам и оборудованию (SSE) пересмотреть положения циркуляра MSC.1/Circ.1394/Rev.1 на своей предстоящей сессии, а также внести указания касательно методов разработки функциональных требований для Главы III Конвенции СОЛАС после того, как Комитет одобрит их предполагаемые количественные эксплуатационные показатели.</w:t>
      </w:r>
    </w:p>
    <w:p w:rsidR="00577992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Между Формализованной оценкой безопасности (FSA) и подходом целевых стандартов с позиций уровня безопасности просматривается четкая связь за счет наличия ссылок в тексте Временного руководства на Пересмотренное руководство по формализованной оценке безопасности (FSA) для применения в процессе разраб</w:t>
      </w:r>
      <w:r w:rsidR="008E6D6B">
        <w:t>отки правил ИМО (циркуляр MSC</w:t>
      </w:r>
      <w:r w:rsidR="008E6D6B">
        <w:noBreakHyphen/>
      </w:r>
      <w:r w:rsidRPr="003D3835">
        <w:t xml:space="preserve">MEPC/Circ.12/Rev.1). </w:t>
      </w:r>
    </w:p>
    <w:p w:rsidR="00577992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Предполагается использовать идентификацию опасностей в качестве отправной точки при разработке документов ИМО в соответствии с целевыми стандартами. Под идентификацией опасностей понимается метод оценки риска, который обычно используется при формализованной оценке безопасности для определения основных факторов риска в целях их дальнейшего учета. </w:t>
      </w:r>
    </w:p>
    <w:p w:rsidR="00577992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рассмотрел документ MSC 98/6/5 (от делегации из Германии), содержащий предложение о внес</w:t>
      </w:r>
      <w:r w:rsidRPr="00477E01">
        <w:t>ении нового раздела</w:t>
      </w:r>
      <w:r w:rsidR="00477E01" w:rsidRPr="00477E01">
        <w:t xml:space="preserve"> 14</w:t>
      </w:r>
      <w:r w:rsidRPr="00477E01">
        <w:t xml:space="preserve"> в пр</w:t>
      </w:r>
      <w:r w:rsidRPr="003D3835">
        <w:t>оект Временного руководства по разработке и применению подхода целевых стандартов ИМО с позиций уровня безопасности.</w:t>
      </w:r>
    </w:p>
    <w:p w:rsidR="008E6D6B" w:rsidRPr="00424C6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В ходе 98-й сессии КБМ согласился сохранить существующий и предлагаемый раздел 14 в квадратных скобках в проекте Временного руководства, а также предложил делегациям </w:t>
      </w:r>
      <w:r w:rsidRPr="003D3835">
        <w:lastRenderedPageBreak/>
        <w:t>направить конкретные примеры подхода целевых стандартов ИМО с позиций уровня безопасности и выдать рекомендации по обоим вариантам раздела 14 с последующей разработкой проекта Временного руководства в ходе 99-й сессии КБМ и его последующим одобрением на</w:t>
      </w:r>
      <w:r w:rsidR="00181F1F">
        <w:t xml:space="preserve"> одной из последующих сессий.</w:t>
      </w:r>
    </w:p>
    <w:p w:rsidR="008E6D6B" w:rsidRPr="00424C6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В ходе 98-й сессии КБМ принял Резолюцию MSC.435(98) – Поправки к Кодексу постройки и оборудования плавучих буровых установок (ПБУ) от 2009 года.</w:t>
      </w:r>
    </w:p>
    <w:p w:rsidR="00952411" w:rsidRPr="003D3835" w:rsidRDefault="00577992" w:rsidP="003836FF">
      <w:pPr>
        <w:pStyle w:val="a4"/>
        <w:tabs>
          <w:tab w:val="left" w:pos="993"/>
        </w:tabs>
        <w:spacing w:before="280"/>
        <w:ind w:firstLine="709"/>
        <w:jc w:val="both"/>
      </w:pPr>
      <w:r w:rsidRPr="003D3835">
        <w:t>На 98-й сессии КБМ одобрил: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MSC.1/Circ.1578 – Руководство по безопасности при проведении учений по оставлению судна с помощью спасательных шлюпок (вытекающее из принятия Требований к проведению технического обслуживания, глубокого осмотра, эксплуатационных испытаний, ремонта и капитального ремонта спасательных и дежурных шлюпок, спусковых и разобщающих устройств (Резолюция MSC.402(96));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MSC.1/Circ.1579 – Поправки  к Указаниям по разработке руководств по эксплуатации и техническому обслуживанию систем спасательных шлюпок (Циркуляр MSC.1/Circ.1205);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 xml:space="preserve">Циркуляр MSC.1/Circ.1580 – Руководство для судов и объектов с системами динамического позиционирования (ДП) (в общем случае применяется в отношении судов и объектов, построенных после 16 </w:t>
      </w:r>
      <w:r w:rsidR="007A045B" w:rsidRPr="00181F1F">
        <w:rPr>
          <w:rFonts w:eastAsia="MS Mincho"/>
          <w:lang w:eastAsia="ja-JP"/>
        </w:rPr>
        <w:t>июня</w:t>
      </w:r>
      <w:r w:rsidRPr="003D3835">
        <w:t xml:space="preserve"> 2017 года, в отношении существующих судов по-прежнему применяются положения Руководства для судов с системами динамического позиционирования (Циркуляр MSC/Circ.645));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MSC.1/Circ.1581 – Унифицированные интерпретации Главы II-2 Конвенции СОЛАС (в отношении ограничений касательно того, какие помещения могут быть устроены в грузовой зоне);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MSC.1/Circ.1582 – Унифицированные интерпретации Главы 15 Кодекса по системам противопожарной безопасности (FSS) (в отношении инертного газа на танкерах);</w:t>
      </w:r>
    </w:p>
    <w:p w:rsidR="00577992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MSC.1/Circ.1583 – Поправка к Унифицированной интерпретации Правила II-1/29 Конвенции СОЛАС (Циркуляр MSC.1/Circ.1398);</w:t>
      </w:r>
    </w:p>
    <w:p w:rsidR="00952411" w:rsidRPr="003D3835" w:rsidRDefault="00952411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Циркуляр MSC.1/Circ.1584 – Поправки к Руководству по оценке и замене механизмов разобщения и подъема спасательных шлюпок (Циркуляр MSC.1/Circ.1392);</w:t>
      </w:r>
    </w:p>
    <w:p w:rsidR="00952411" w:rsidRPr="003D3835" w:rsidRDefault="00577992" w:rsidP="003836F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3D3835">
        <w:t>Проект циркуляра Ассамблеи в части обозначения путей эвакуации и мест расположения оборудования (с последующим принятием на 30-й сессии Ассамблеи).</w:t>
      </w:r>
    </w:p>
    <w:p w:rsidR="00952411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</w:pPr>
      <w:r w:rsidRPr="003D3835">
        <w:t>На 98-й сессии КБМ был отмечен факт утверждения Подкомитетом по судовым системам и оборудованию (SSE) нижеследующих проектов поправок:</w:t>
      </w:r>
    </w:p>
    <w:p w:rsidR="00952411" w:rsidRPr="003D3835" w:rsidRDefault="00952411" w:rsidP="003836F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D3835">
        <w:t>Поправка к Унифицированной интерпретации Главы II-2 Конвенции СОЛАС в отношении количества и расположения переносных огнетушителей на борту судов (Циркуляр MSC.1/Circ.1275), изданная в виде документа MSC.1/Circ.1275/Corr.1;</w:t>
      </w:r>
    </w:p>
    <w:p w:rsidR="00952411" w:rsidRPr="003D3835" w:rsidRDefault="00952411" w:rsidP="003836FF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3D3835">
        <w:t>Поправка к Требованиям к проведению технического обслуживания, глубокого осмотра, эксплуатационных испытаний, ремонта и капитального ремонта спасательных и дежурных шлюпок, спусковых и разобщающих устройств (Резолюция MSC.402(96)), изданная в виде документа MSC 96/25/Add.1/Corr.1.</w:t>
      </w:r>
    </w:p>
    <w:p w:rsidR="00577992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Формализованная оценка безопасности </w:t>
      </w:r>
    </w:p>
    <w:p w:rsidR="00F257DD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97-й сессии КБМ была отмечена необходимость рассмотрения возможности внесения изменений в схему на рисунке 2 в пункте 27 Приложения 10 к Руководству по формализованной оценке безопасности с целью приведения его в соответствие с положениями пункта 26 Приложения 10 к Руководству по формализованной оценке безопасности и Дополнения 6 к Документу по организации и методам работы Комитета по безопасности на море и Комитета по защите морской среды, а также их вспомогательных органов (Циркуляр MSC-MEPC.1/Circ.5).</w:t>
      </w:r>
    </w:p>
    <w:p w:rsidR="00F257DD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Предлагаемая поправка к схеме была согласована на пленарном заседании. На 98-й сессии КБМ согласовал проект Циркуляра КБМ – КЗМС, касающийся Пересмотренного руководства по формализованной оценке безопасности для применения в процессе разработки </w:t>
      </w:r>
      <w:r w:rsidRPr="003D3835">
        <w:lastRenderedPageBreak/>
        <w:t>правил ИМО (Циркуляр MSC-MEPC.2/Circ.12/Rev.2) при условии его последующего согласования на 72-й сессии КЗМС. Положения Пересмотренного руководства по формализованной оценке безопасности будут применяться с немедленным вступлением в силу.</w:t>
      </w:r>
    </w:p>
    <w:p w:rsidR="00F257DD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Применение документов и сопутствующие вопросы</w:t>
      </w:r>
    </w:p>
    <w:p w:rsidR="0095241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70-й сессии КЗМС, обратившись за уточнениями по вопросам, возникшим с момента применения новой формы Свидетельства о пригодности в соответствии с Международным кодексом перевозок опасных химических грузов наливом (IBC), Международным кодексом постройки и оборудования судов, перевозящих опасные химические грузы наливом (BCH), Международным кодексом по газовозам (GC), Международным кодексом постройки и оборудования судов, перевозящих сжиженные газы наливом (I</w:t>
      </w:r>
      <w:r w:rsidR="008E6D6B">
        <w:t xml:space="preserve">GC) и </w:t>
      </w:r>
      <w:r w:rsidRPr="003D3835">
        <w:t>Кодексом для существующих судов, перевозящих сжиженные газы наливом (EGC), поручил Секретариату подготовить в целях дальнейшего утверждения на 71-й сессии КЗМС следующее:</w:t>
      </w:r>
    </w:p>
    <w:p w:rsidR="00F257DD" w:rsidRPr="003D3835" w:rsidRDefault="00952411" w:rsidP="003836F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181F1F">
        <w:t>проект единого Циркуляра КБМ-КЗМС в отноше</w:t>
      </w:r>
      <w:r w:rsidRPr="003D3835">
        <w:t xml:space="preserve">нии того, каким образом будут оформляться Свидетельства о пригодности на суда, на которые пока не распространяется требование поправки о наличии на борту одобренного инструмента остойчивости совместно с рассмотрением вопроса в отношении резолюций, которые должны указываться на первой странице Свидетельства о пригодности, для утверждения на 98-й сессии КБМ; </w:t>
      </w:r>
    </w:p>
    <w:p w:rsidR="00952411" w:rsidRPr="003D3835" w:rsidRDefault="00952411" w:rsidP="003836FF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3D3835">
        <w:t xml:space="preserve">проекты поправок к Международному кодексу перевозок опасных химических грузов наливом (IBC), Международному кодексу постройки и оборудования судов, перевозящих опасные химические грузы наливом (BCH), Международному кодексу по газовозам (GC), Международному кодексу постройки и оборудования судов, перевозящих </w:t>
      </w:r>
      <w:r w:rsidR="008E6D6B">
        <w:t xml:space="preserve">сжиженные газы наливом (IGC) и </w:t>
      </w:r>
      <w:r w:rsidRPr="003D3835">
        <w:t>Кодексу для существующих судов, перевозящих сжиженные газы наливом (EGC) на рассмотрение в ходе 98-й сессии КБМ с целью последующего утверждения.</w:t>
      </w:r>
    </w:p>
    <w:p w:rsidR="00F257DD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 xml:space="preserve">На пленарном заседании не было высказано никаких возражений. Таким образом, на 98-й сессии КБМ </w:t>
      </w:r>
      <w:r w:rsidRPr="00181F1F">
        <w:t>одобрил проект Циркуляра MSC-MEPC.5, касающе</w:t>
      </w:r>
      <w:r w:rsidRPr="003D3835">
        <w:t>гося Руководства по оформлению Свидетельства о пригодности судна в соответствии с Международным кодексом перевозок опасных химических грузов наливом (IBC), Международным кодексом постройки и оборудования судов, перевозящих опасные химические грузы наливом (BCH), Международным кодексом по газовозам (GC), Международным кодексом постройки и оборудования судов, перевозящих сжиженные газы наливом (IGC) и Кодексом для существующих судов, перевозящих сжиженные газы наливом (EGC), а также проекты поправок к Свидетельствам о пригодности судна в соответствии с вышеуказанными Кодексами.</w:t>
      </w:r>
    </w:p>
    <w:p w:rsidR="00F257DD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КБМ передал вышеуказанный проект Руководства и поправки к Международному кодексу перевозок опасных химических грузов наливом (IBC) и Международному кодексу постройки и оборудования судов, перевозящих опасные химические грузы наливом (BCH) на рассмотрение в ходе 71-й сессии КЗМС с целью последующего утверждения и окончательного принятия на 99-й сессии КБМ. </w:t>
      </w:r>
    </w:p>
    <w:p w:rsidR="00F257DD" w:rsidRPr="003D3835" w:rsidRDefault="00952411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 w:rsidRPr="003D3835">
        <w:rPr>
          <w:b/>
          <w:i/>
        </w:rPr>
        <w:t>Рабочая программа</w:t>
      </w:r>
    </w:p>
    <w:p w:rsidR="00952411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согласился внести в повестку дня КБМ по истечении двухгодичного периода рассмотрение нижеследующих вопросов:</w:t>
      </w:r>
    </w:p>
    <w:p w:rsidR="00952411" w:rsidRPr="003D3835" w:rsidRDefault="00952411" w:rsidP="003836F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D3835">
        <w:t>нормативная проработка вопросов касательно применения морских автономных надводных судов;</w:t>
      </w:r>
    </w:p>
    <w:p w:rsidR="00952411" w:rsidRPr="003D3835" w:rsidRDefault="00952411" w:rsidP="003836F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D3835">
        <w:t>поправки в Кодекс безопасной практики размещения и крепления груза (Кодекс РКГ) в отношении крепления с учетом погодных условий;</w:t>
      </w:r>
    </w:p>
    <w:p w:rsidR="00952411" w:rsidRPr="003D3835" w:rsidRDefault="00952411" w:rsidP="003836F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D3835">
        <w:t>пересмотр Глав III и IV Конвенции СОЛАС в целях модернизации ГМССБ, в том числе сопутствующие и последующие поправки в прочие существующие документы;</w:t>
      </w:r>
    </w:p>
    <w:p w:rsidR="00952411" w:rsidRPr="003D3835" w:rsidRDefault="00952411" w:rsidP="003836F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D3835">
        <w:t>разработка Руководства по подаче электропитания на судно с берега, а также поправок к Главам II-1 и II-2 Конвенции СОЛАС при необходимости;</w:t>
      </w:r>
    </w:p>
    <w:p w:rsidR="00952411" w:rsidRPr="003D3835" w:rsidRDefault="00952411" w:rsidP="003836F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D3835">
        <w:t>разработка Руководства по подаче электропитания на судно с берега, а также поправок к Главам II-1 и II-2 Конвенции СОЛАС при необходимости;</w:t>
      </w:r>
    </w:p>
    <w:p w:rsidR="00952411" w:rsidRPr="003D3835" w:rsidRDefault="00952411" w:rsidP="003836F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D3835">
        <w:lastRenderedPageBreak/>
        <w:t>поправки к Главе 9  Кодекса по системам противопожарной безопасности (FSS) в отношении требований по выявлению отказов на грузовых судах и на балконах кают пассажирских судов, оснащенных отдельно обозначенными системами обнаружения пожара;</w:t>
      </w:r>
    </w:p>
    <w:p w:rsidR="00952411" w:rsidRPr="003D3835" w:rsidRDefault="00952411" w:rsidP="003836F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 w:rsidRPr="003D3835">
        <w:t xml:space="preserve">поправки в Руководство по одобрению стационарных систем порошкового пожаротушения для защиты судов, перевозящих сжиженные газы наливом (Циркуляр MSC.1/Circ.1315); </w:t>
      </w:r>
    </w:p>
    <w:p w:rsidR="00952411" w:rsidRPr="003D3835" w:rsidRDefault="003836FF" w:rsidP="003836FF">
      <w:pPr>
        <w:pStyle w:val="a4"/>
        <w:numPr>
          <w:ilvl w:val="0"/>
          <w:numId w:val="7"/>
        </w:numPr>
        <w:tabs>
          <w:tab w:val="left" w:pos="993"/>
        </w:tabs>
        <w:ind w:left="0" w:firstLine="709"/>
        <w:jc w:val="both"/>
      </w:pPr>
      <w:r>
        <w:t>п</w:t>
      </w:r>
      <w:r w:rsidR="00952411" w:rsidRPr="003D3835">
        <w:t>ересмотр Главы III Конвенции СОЛАС и текста Международного кодекса по спасательным средствам и устройствам (LSA) в целях исключения расхождений, несоответствий и двусмысленности на основании целей безопасности, функциональных требований и предполагаемых эксплуатационных показателей, указанных в Главе III Конвенции СОЛАС.</w:t>
      </w:r>
    </w:p>
    <w:p w:rsidR="00FC1B27" w:rsidRPr="003D3835" w:rsidRDefault="00FB19AF" w:rsidP="003836FF">
      <w:pPr>
        <w:pStyle w:val="a4"/>
        <w:tabs>
          <w:tab w:val="left" w:pos="993"/>
        </w:tabs>
        <w:spacing w:before="280"/>
        <w:ind w:firstLine="709"/>
        <w:jc w:val="both"/>
        <w:rPr>
          <w:b/>
          <w:i/>
        </w:rPr>
      </w:pPr>
      <w:r>
        <w:rPr>
          <w:b/>
          <w:i/>
        </w:rPr>
        <w:t>Прочие</w:t>
      </w:r>
      <w:r w:rsidR="00952411" w:rsidRPr="003D3835">
        <w:rPr>
          <w:b/>
          <w:i/>
        </w:rPr>
        <w:t xml:space="preserve"> вопросы</w:t>
      </w:r>
    </w:p>
    <w:p w:rsidR="00FC1B27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Обсуждение аспектов безопасности, касающихся обеспечения систематического, безопасного и эффективного применения общего лимита содержания серы, равного 0,50%, в топливе, используемом на судах, велось довольно длительное время. </w:t>
      </w:r>
    </w:p>
    <w:p w:rsidR="00FC1B27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70-й сессии КЗМС поручил Подкомитету по предотвращению загрязнения и реагированию (PPR) в ходе 4-й сессии подготовить проект обоснования и область применения новой темы касательно разработки дополнительных мер для системат</w:t>
      </w:r>
      <w:bookmarkStart w:id="0" w:name="_GoBack"/>
      <w:bookmarkEnd w:id="0"/>
      <w:r w:rsidRPr="003D3835">
        <w:t>ического применения общего предельного содержания серы 0,50% для рассмотрения в ходе 71-й сессии КЗМС.</w:t>
      </w:r>
    </w:p>
    <w:p w:rsidR="00FC1B27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Подчеркивая тот факт, что требуемая положениями Главы II-2 Конвенции СОЛАС температура воспламенения топлива остается на уровне 60ºC для судов, не подпадающих под требования Кодекса безопасности для судов, использующих газы и другое топливо с низкой температурой воспламенения (IGF), на 98-й сессии КБМ предложил заинтересованным Государствам-членам и международным организациями направить предложения в адрес Подкомитета по перевозке грузов и контейнеров (CCC) в целях последующей разработки специальных требований к топливу с низкой температурой воспламенения, действующих только в рамках положений Кодекса IGF.</w:t>
      </w:r>
    </w:p>
    <w:p w:rsidR="00FC1B27" w:rsidRPr="003D383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На 98-й сессии КБМ предложил КЗМС на своей 71-й сессии при рассмотрении проекта обоснования применения предложенной темы касательно "Систематического применения Правила 14.1.3 Приложения VI Конвенции МАРПОЛ", разработанного на 4-й сессии Подкомитета по предотвращению загрязнения и реагированию (PPR), непосредственно внести в область применения предложенной темы меры безопасности в отношении сме</w:t>
      </w:r>
      <w:r w:rsidRPr="00181F1F">
        <w:t>шивания топлив в цел</w:t>
      </w:r>
      <w:r w:rsidRPr="003D3835">
        <w:t xml:space="preserve">ях обеспечения соответствия лимиту содержанию серы 0,50% по массе. </w:t>
      </w:r>
    </w:p>
    <w:p w:rsidR="00E17DCC" w:rsidRPr="00424C65" w:rsidRDefault="00952411" w:rsidP="003836FF">
      <w:pPr>
        <w:pStyle w:val="a4"/>
        <w:tabs>
          <w:tab w:val="left" w:pos="993"/>
        </w:tabs>
        <w:ind w:firstLine="709"/>
        <w:jc w:val="both"/>
      </w:pPr>
      <w:r w:rsidRPr="003D3835">
        <w:t>Подкомитету по предотвращению загрязнения и реагированию (PPR) было поручено сообщать КБМ о любых мерах безопасности, которые можно определить в отношении применения топлива с низким содержанием серы в соответствии с вышеуказанной предложенной темой.</w:t>
      </w:r>
    </w:p>
    <w:sectPr w:rsidR="00E17DCC" w:rsidRPr="00424C65" w:rsidSect="00CA7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0C9"/>
    <w:multiLevelType w:val="hybridMultilevel"/>
    <w:tmpl w:val="456C97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D6C41"/>
    <w:multiLevelType w:val="hybridMultilevel"/>
    <w:tmpl w:val="01FEE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07DAE"/>
    <w:multiLevelType w:val="hybridMultilevel"/>
    <w:tmpl w:val="601A1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AE19AD"/>
    <w:multiLevelType w:val="hybridMultilevel"/>
    <w:tmpl w:val="4956B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F27FF"/>
    <w:multiLevelType w:val="hybridMultilevel"/>
    <w:tmpl w:val="25E8A7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07F2D82"/>
    <w:multiLevelType w:val="hybridMultilevel"/>
    <w:tmpl w:val="157221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2FD14F5"/>
    <w:multiLevelType w:val="hybridMultilevel"/>
    <w:tmpl w:val="48A6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411"/>
    <w:rsid w:val="000F5859"/>
    <w:rsid w:val="00181F1F"/>
    <w:rsid w:val="001D4D3D"/>
    <w:rsid w:val="002F55EE"/>
    <w:rsid w:val="003105D6"/>
    <w:rsid w:val="003836FF"/>
    <w:rsid w:val="003B4A7C"/>
    <w:rsid w:val="003D3835"/>
    <w:rsid w:val="00424C65"/>
    <w:rsid w:val="00450D3F"/>
    <w:rsid w:val="00477E01"/>
    <w:rsid w:val="00491C42"/>
    <w:rsid w:val="00491DFF"/>
    <w:rsid w:val="00577992"/>
    <w:rsid w:val="005837AC"/>
    <w:rsid w:val="005C2C85"/>
    <w:rsid w:val="005C352B"/>
    <w:rsid w:val="0066444A"/>
    <w:rsid w:val="007571D1"/>
    <w:rsid w:val="0078035A"/>
    <w:rsid w:val="007A045B"/>
    <w:rsid w:val="007F6EA6"/>
    <w:rsid w:val="00870BA0"/>
    <w:rsid w:val="008E6D6B"/>
    <w:rsid w:val="008E7D69"/>
    <w:rsid w:val="00906860"/>
    <w:rsid w:val="00952411"/>
    <w:rsid w:val="009C3F15"/>
    <w:rsid w:val="009E04C4"/>
    <w:rsid w:val="00A35182"/>
    <w:rsid w:val="00BC3D98"/>
    <w:rsid w:val="00BE3B9B"/>
    <w:rsid w:val="00BE63A4"/>
    <w:rsid w:val="00C81F83"/>
    <w:rsid w:val="00CA7F39"/>
    <w:rsid w:val="00D24376"/>
    <w:rsid w:val="00D93354"/>
    <w:rsid w:val="00E17DCC"/>
    <w:rsid w:val="00E90A15"/>
    <w:rsid w:val="00F07B6F"/>
    <w:rsid w:val="00F257DD"/>
    <w:rsid w:val="00F67BD5"/>
    <w:rsid w:val="00F853DA"/>
    <w:rsid w:val="00FB19AF"/>
    <w:rsid w:val="00FC1B27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2A1B4-CC9F-467D-905A-16B87611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39"/>
  </w:style>
  <w:style w:type="paragraph" w:styleId="1">
    <w:name w:val="heading 1"/>
    <w:basedOn w:val="a"/>
    <w:link w:val="10"/>
    <w:uiPriority w:val="9"/>
    <w:qFormat/>
    <w:rsid w:val="009524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4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5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2411"/>
  </w:style>
  <w:style w:type="paragraph" w:styleId="a4">
    <w:name w:val="No Spacing"/>
    <w:uiPriority w:val="1"/>
    <w:qFormat/>
    <w:rsid w:val="006644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</Company>
  <LinksUpToDate>false</LinksUpToDate>
  <CharactersWithSpaces>31507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Легуша Сергей Федорович</dc:creator>
  <cp:keywords/>
  <dc:description/>
  <cp:lastModifiedBy>Легуша Сергей Федорович</cp:lastModifiedBy>
  <cp:revision>31</cp:revision>
  <dcterms:created xsi:type="dcterms:W3CDTF">2017-06-29T12:30:00Z</dcterms:created>
  <dcterms:modified xsi:type="dcterms:W3CDTF">2017-07-07T06:25:00Z</dcterms:modified>
</cp:coreProperties>
</file>