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E2" w:rsidRPr="003461E2" w:rsidRDefault="00C20522" w:rsidP="0034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B7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сессия SSE</w:t>
      </w:r>
      <w:r w:rsidR="003461E2"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– 4 - 8 марта 2019 г.</w:t>
      </w:r>
    </w:p>
    <w:p w:rsidR="003461E2" w:rsidRPr="003461E2" w:rsidRDefault="003461E2" w:rsidP="00346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ПОДКОМИТЕТ ПО СУДОВЫМ СИСТЕМАМ И ОБОРУДОВАНИЮ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952B78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Меры</w:t>
      </w:r>
      <w:r w:rsidR="003461E2"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безопасности и функциональные требования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для Руководства </w:t>
      </w:r>
      <w:r w:rsidR="0015205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конструкциям и мерам</w:t>
      </w:r>
      <w:r w:rsidR="0016014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D56DF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альтернативным по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отношени</w:t>
      </w:r>
      <w:r w:rsidR="0016014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ю к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</w:t>
      </w:r>
      <w:r w:rsidR="003461E2"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лав</w:t>
      </w:r>
      <w:r w:rsidR="0016014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ам</w:t>
      </w:r>
      <w:r w:rsidR="003461E2"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II-1 и III конвенции СОЛАС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952B78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Ссылаясь на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 функциональны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ожидаемые эксплуатационные показатели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согласно главе III СОЛАС и проекту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Комитета по безопасности на море/КБМ в отношении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 к циркуляру MSC.1/Circ.1212, разработанны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Корреспондентской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группой,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созданной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5 </w:t>
      </w:r>
      <w:r w:rsidRPr="00952B78">
        <w:rPr>
          <w:rFonts w:ascii="Times New Roman" w:eastAsia="Times New Roman" w:hAnsi="Times New Roman" w:cs="Times New Roman"/>
          <w:sz w:val="24"/>
          <w:szCs w:val="24"/>
          <w:lang w:bidi="ru-RU"/>
        </w:rPr>
        <w:t>сессии</w:t>
      </w:r>
      <w:r w:rsidR="003461E2" w:rsidRPr="00952B78">
        <w:rPr>
          <w:rFonts w:ascii="Times New Roman" w:hAnsi="Times New Roman"/>
          <w:color w:val="000000" w:themeColor="text1"/>
          <w:sz w:val="24"/>
          <w:szCs w:val="24"/>
        </w:rPr>
        <w:t xml:space="preserve"> Подкомитета ИМО по судовым системам и оборудованию (</w:t>
      </w:r>
      <w:r w:rsidR="003461E2" w:rsidRPr="00952B78">
        <w:rPr>
          <w:rFonts w:ascii="Times New Roman" w:hAnsi="Times New Roman"/>
          <w:color w:val="000000" w:themeColor="text1"/>
          <w:sz w:val="24"/>
          <w:szCs w:val="24"/>
          <w:lang w:val="en-US"/>
        </w:rPr>
        <w:t>SSE</w:t>
      </w:r>
      <w:r w:rsidR="003461E2" w:rsidRPr="00952B7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461E2" w:rsidRPr="00952B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некоторые делегаты 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сессии </w:t>
      </w:r>
      <w:r w:rsidR="003461E2" w:rsidRPr="00952B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>от</w:t>
      </w:r>
      <w:r w:rsidR="003461E2" w:rsidRPr="00952B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метили, что 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существующий подход </w:t>
      </w:r>
      <w:r w:rsidR="003461E2" w:rsidRPr="00952B78">
        <w:rPr>
          <w:rFonts w:ascii="Times New Roman" w:eastAsia="Times New Roman" w:hAnsi="Times New Roman" w:cs="Times New Roman"/>
          <w:sz w:val="24"/>
          <w:szCs w:val="24"/>
          <w:lang w:bidi="ru-RU"/>
        </w:rPr>
        <w:t>к проектированию ожидаем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>ых эксплуатационных показателей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функциональных требований не соответствует Общ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им руководствам по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разработке целе</w:t>
      </w:r>
      <w:r w:rsidR="0005403B">
        <w:rPr>
          <w:rFonts w:ascii="Times New Roman" w:eastAsia="Times New Roman" w:hAnsi="Times New Roman" w:cs="Times New Roman"/>
          <w:sz w:val="24"/>
          <w:szCs w:val="24"/>
          <w:lang w:bidi="ru-RU"/>
        </w:rPr>
        <w:t>вых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стандартов ИМО (MSC.1/Circ.1394/Rev.1). </w:t>
      </w:r>
    </w:p>
    <w:p w:rsidR="003461E2" w:rsidRPr="003461E2" w:rsidRDefault="0005403B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Основной целью этой работы является,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 первую очередь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составление проекта поправок к циркуляру MSC.1/Circ.1212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основании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существующих инструментов ИМО, а не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сследовании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опасностей.</w:t>
      </w:r>
    </w:p>
    <w:p w:rsidR="003461E2" w:rsidRPr="003461E2" w:rsidRDefault="0005403B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пришла к соглашению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в данный момент подход, основанный на идентификации и изучении опасностей, не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может быть применим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учетом того, что объем работ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состоял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разработк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функциональных требований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основе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существующи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инструмент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ИМО.</w:t>
      </w:r>
    </w:p>
    <w:p w:rsidR="003461E2" w:rsidRPr="003461E2" w:rsidRDefault="0005403B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 проект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Руководству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конструкциям и мерам</w:t>
      </w:r>
      <w:r w:rsidR="00160148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16014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альтернативн</w:t>
      </w:r>
      <w:r w:rsidR="00160148">
        <w:rPr>
          <w:rFonts w:ascii="Times New Roman" w:eastAsia="Times New Roman" w:hAnsi="Times New Roman" w:cs="Times New Roman"/>
          <w:sz w:val="24"/>
          <w:szCs w:val="24"/>
          <w:lang w:bidi="ru-RU"/>
        </w:rPr>
        <w:t>ым по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отношени</w:t>
      </w:r>
      <w:r w:rsidR="00160148">
        <w:rPr>
          <w:rFonts w:ascii="Times New Roman" w:eastAsia="Times New Roman" w:hAnsi="Times New Roman" w:cs="Times New Roman"/>
          <w:sz w:val="24"/>
          <w:szCs w:val="24"/>
          <w:lang w:bidi="ru-RU"/>
        </w:rPr>
        <w:t>ю к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глав</w:t>
      </w:r>
      <w:r w:rsidR="00160148">
        <w:rPr>
          <w:rFonts w:ascii="Times New Roman" w:eastAsia="Times New Roman" w:hAnsi="Times New Roman" w:cs="Times New Roman"/>
          <w:sz w:val="24"/>
          <w:szCs w:val="24"/>
          <w:lang w:bidi="ru-RU"/>
        </w:rPr>
        <w:t>ам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 и III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конвенции СОЛАС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(MSC.1/Circ.1212)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применимых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циркуляр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ов 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предоставления на утверждение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101 сессии 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Разработка новых требований к вентиляции спасательного судна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160148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97 сессия КБМ дала указания разработать требования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вентиляции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полностью закрытых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спасательных шлюпок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как приоритетного вопроса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рассмотреть требования 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другим спасательным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средствам с целью разработки поправок к </w:t>
      </w:r>
      <w:r w:rsidR="00F513DC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Международному кодексу по спасательному оборудованию на судах (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F513DC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одекс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>у</w:t>
      </w:r>
      <w:r w:rsidR="00F513DC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LSA)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Пересмотренной рекомендации по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испытаниям спасательных средств (резолюция MSC.81(70)).</w:t>
      </w:r>
    </w:p>
    <w:p w:rsidR="003461E2" w:rsidRPr="003461E2" w:rsidRDefault="00160148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согласовала проект поправок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Международному кодексу по спасательному оборудованию на судах (кодекс LSA) 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>для предоставления на одобрение КБМ по окончании обсуждения вопроса вентиляции спасательных средств, не являющихся полностью закрытыми спасательными шлюпками.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>Для ведения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межсессионной работы н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 5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была создана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Корреспондентская</w:t>
      </w:r>
      <w:r w:rsidR="00F513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группа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дополнение к отчету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группы 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рассмотрел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>а следующие вопросы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предложения 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>поправок к критериям уровня вентиляции, приведенным в 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одексе LSA и резолюции MSC.81 (70), основанных на проверке критериев путем сравнения результатов испытания спасательной шлюпки и расчета</w:t>
      </w:r>
      <w:r w:rsidR="00654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использованием модели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3461E2" w:rsidRPr="003461E2" w:rsidRDefault="00654778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дополнительные меры в развитие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ок к 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одексу LSA в отношении требований к вентиляции спасательных с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редств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т.е. надлежащий контроль концентрации CO2 с</w:t>
      </w:r>
      <w:r w:rsidR="00B46DE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применением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звуковой и визуальной сигнализаци</w:t>
      </w:r>
      <w:r w:rsidR="00B46DE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B46DEC">
        <w:rPr>
          <w:rFonts w:ascii="Times New Roman" w:eastAsia="Times New Roman" w:hAnsi="Times New Roman" w:cs="Times New Roman"/>
          <w:sz w:val="24"/>
          <w:szCs w:val="24"/>
          <w:lang w:bidi="ru-RU"/>
        </w:rPr>
        <w:t>активация которой происходит по достижении предельного уровня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5000 ч/млн.</w:t>
      </w:r>
    </w:p>
    <w:p w:rsidR="003461E2" w:rsidRPr="003461E2" w:rsidRDefault="00B46DEC" w:rsidP="003461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поправок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К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одексу LSA в отношении вентиляции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полностью закрытых спасательных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шлюпок</w:t>
      </w:r>
    </w:p>
    <w:p w:rsidR="003461E2" w:rsidRPr="003461E2" w:rsidRDefault="00B46DEC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была отмечена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обеспокоенность, выраженн</w:t>
      </w:r>
      <w:r w:rsidR="003A33ED">
        <w:rPr>
          <w:rFonts w:ascii="Times New Roman" w:eastAsia="Times New Roman" w:hAnsi="Times New Roman" w:cs="Times New Roman"/>
          <w:sz w:val="24"/>
          <w:szCs w:val="24"/>
          <w:lang w:bidi="ru-RU"/>
        </w:rPr>
        <w:t>ая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делегациями Соединенных Штатов, Канады, Великобритании и наблюдателя </w:t>
      </w:r>
      <w:r w:rsidR="003A33E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ICS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 того, что</w:t>
      </w:r>
      <w:r w:rsidR="003A33ED" w:rsidRPr="00E4716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согласованный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эксплуатационный стандарт, составляющий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 </w:t>
      </w:r>
      <w:r w:rsidR="003A33E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м3/ч </w:t>
      </w:r>
      <w:r w:rsidR="003A33ED" w:rsidRPr="003A33ED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r w:rsidR="003A33E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чел</w:t>
      </w:r>
      <w:r w:rsidR="003A33ED">
        <w:rPr>
          <w:rFonts w:ascii="Times New Roman" w:eastAsia="Times New Roman" w:hAnsi="Times New Roman" w:cs="Times New Roman"/>
          <w:sz w:val="24"/>
          <w:szCs w:val="24"/>
          <w:lang w:bidi="ru-RU"/>
        </w:rPr>
        <w:t>овека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может не соответствовать пределу долгосрочной концентрации CO2, равному 5000 ч/млн., в качестве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эксплуатационного стандарта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пригодной для жизни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среды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полностью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закрытых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спасательных шлюпках.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Более оптимальным критерием для определения нормативного показателя в герметизированных спасательных шлюпках они считают предел концентрации CO2, равный 5000 ч/млн. Это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предоставит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необходим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ую гибкость изготовителям для установления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оптимальных средств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поддержания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создания пригодной для жизни среды не только на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полностью закрытых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спасательных шлюпках.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Однако, Подкомитет не смог прийти к соглашению 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>по предложенным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поправк</w:t>
      </w:r>
      <w:r w:rsidR="0032201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ам в отношении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</w:t>
      </w:r>
      <w:r w:rsidR="009420D8">
        <w:rPr>
          <w:rFonts w:ascii="Times New Roman" w:eastAsia="Times New Roman" w:hAnsi="Times New Roman" w:cs="Times New Roman"/>
          <w:sz w:val="24"/>
          <w:szCs w:val="24"/>
          <w:lang w:bidi="ru-RU"/>
        </w:rPr>
        <w:t>ев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420D8">
        <w:rPr>
          <w:rFonts w:ascii="Times New Roman" w:eastAsia="Times New Roman" w:hAnsi="Times New Roman" w:cs="Times New Roman"/>
          <w:sz w:val="24"/>
          <w:szCs w:val="24"/>
          <w:lang w:bidi="ru-RU"/>
        </w:rPr>
        <w:t>интенсивности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вентиляции. 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Кроме того, несколько делегаций поддержали мнение, что дополнительн</w:t>
      </w:r>
      <w:r w:rsidR="009420D8">
        <w:rPr>
          <w:rFonts w:ascii="Times New Roman" w:eastAsia="Times New Roman" w:hAnsi="Times New Roman" w:cs="Times New Roman"/>
          <w:sz w:val="24"/>
          <w:szCs w:val="24"/>
          <w:lang w:bidi="ru-RU"/>
        </w:rPr>
        <w:t>ое устройство контроля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CO2 станет эффективным средством предупреждения </w:t>
      </w:r>
      <w:r w:rsidR="009420D8">
        <w:rPr>
          <w:rFonts w:ascii="Times New Roman" w:eastAsia="Times New Roman" w:hAnsi="Times New Roman" w:cs="Times New Roman"/>
          <w:sz w:val="24"/>
          <w:szCs w:val="24"/>
          <w:lang w:bidi="ru-RU"/>
        </w:rPr>
        <w:t>находящихся на борту спасательного средства о 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коплении CO2. Но SSE6 не смог прийти к единому мнению по вопросу необходимости такого </w:t>
      </w:r>
      <w:r w:rsidR="009420D8">
        <w:rPr>
          <w:rFonts w:ascii="Times New Roman" w:eastAsia="Times New Roman" w:hAnsi="Times New Roman" w:cs="Times New Roman"/>
          <w:sz w:val="24"/>
          <w:szCs w:val="24"/>
          <w:lang w:bidi="ru-RU"/>
        </w:rPr>
        <w:t>устройства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9420D8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 сессия SSE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решила сохранить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одексу LSA, подготовленные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5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SSE.</w:t>
      </w:r>
    </w:p>
    <w:p w:rsidR="009420D8" w:rsidRPr="009420D8" w:rsidRDefault="003461E2" w:rsidP="003461E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поправ</w:t>
      </w:r>
      <w:r w:rsidR="009420D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ок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к</w:t>
      </w:r>
      <w:r w:rsidR="00D56DF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резолюции MSC.81(70)</w:t>
      </w:r>
      <w:r w:rsidR="009420D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- </w:t>
      </w:r>
      <w:r w:rsidR="009420D8" w:rsidRPr="009420D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Пересмотренной рекомендации по испытаниям спасательных средств </w:t>
      </w:r>
    </w:p>
    <w:p w:rsidR="003461E2" w:rsidRPr="003461E2" w:rsidRDefault="009420D8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 подготовлен проект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резолюции MSC.81(70)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было согласовано предложить Подкомитету созвать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Корреспондентскую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группу для дальнейшей проработки этого проекта поправок между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сессиями в целях </w:t>
      </w:r>
      <w:r w:rsidR="00554DF5">
        <w:rPr>
          <w:rFonts w:ascii="Times New Roman" w:eastAsia="Times New Roman" w:hAnsi="Times New Roman" w:cs="Times New Roman"/>
          <w:sz w:val="24"/>
          <w:szCs w:val="24"/>
          <w:lang w:bidi="ru-RU"/>
        </w:rPr>
        <w:t>завершения работы над ним на 7 сессии SSE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поправ</w:t>
      </w:r>
      <w:r w:rsidR="00554D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к к </w:t>
      </w:r>
      <w:r w:rsidR="00554D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Кодексу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LSA кодексу в отношении требований к вентиляции спасательных </w:t>
      </w:r>
      <w:r w:rsidR="00554D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средств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, </w:t>
      </w:r>
      <w:r w:rsidR="00554D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иных чем полностью закрытые спасательные шлюпки</w:t>
      </w:r>
    </w:p>
    <w:p w:rsidR="003461E2" w:rsidRPr="003461E2" w:rsidRDefault="00554DF5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Вводу ограниченного количества времени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Подкомитет не смог рассмотреть проект поправок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одексу LSA в отношении требований к вентиляции спасательных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иных, чем полностью закрытые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спасательны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 средства.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Было принято решение о создании </w:t>
      </w:r>
      <w:r w:rsidR="00686995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Корреспондентской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группы по разработке этого вопроса между сессиями с целью принятия окончательного решения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7 сессии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SSE. </w:t>
      </w:r>
    </w:p>
    <w:p w:rsidR="003461E2" w:rsidRPr="003461E2" w:rsidRDefault="003461E2" w:rsidP="003461E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Последующая работа по разработке нового кодекса для </w:t>
      </w:r>
      <w:r w:rsidR="00E0562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суд</w:t>
      </w:r>
      <w:r w:rsidR="00554DF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ов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, </w:t>
      </w:r>
      <w:r w:rsidR="00554DF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эксплуатирующихся 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в полярных водах (Полярный кодекс)</w:t>
      </w:r>
    </w:p>
    <w:p w:rsidR="003461E2" w:rsidRPr="003461E2" w:rsidRDefault="00554DF5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97 сессия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MSC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/КБМ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поручил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изучить кодекс LSA и соответствующие резолюции ИМО на предмет соответствия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имеющихся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стандартов испытаний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эксплуатационных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показателей положениям Полярного кодекса. </w:t>
      </w:r>
    </w:p>
    <w:p w:rsidR="003461E2" w:rsidRPr="003461E2" w:rsidRDefault="00554DF5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выразила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 с тем, что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 первую очередь должн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быть разработан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ременн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ое руководство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директива по спасательным средствам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устройствам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судов,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эксплуатирующихся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полярных водах. В связи с этим была создана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Корреспондентская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группа, ответственная за дальнейшую разработку с целью окончательного утверждения проекта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="00E0562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ременн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ого руководства</w:t>
      </w:r>
      <w:r w:rsidR="00E0562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спасательным средствам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устройствам </w:t>
      </w:r>
      <w:r w:rsidR="00E0562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судов,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эксплуатирующихся</w:t>
      </w:r>
      <w:r w:rsidR="00E0562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полярных водах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за рассмотрение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применимых нормативных документов для разработки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новых критериев испытания и 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эксплуатации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E0562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выразила согласие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проектом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ременн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ого руководства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спасательным средствам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устройствам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судов,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эксплуатирующихся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полярных водах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и дал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указания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екретариату ИМО подготовить проект соответствующего циркуляра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его на утверждение 101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MSC.</w:t>
      </w:r>
    </w:p>
    <w:p w:rsidR="003461E2" w:rsidRPr="003461E2" w:rsidRDefault="00E0562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поддержал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мнение, что глава 8 части I-A Полярного кодекса (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пасательные средства и устройства) примен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има в равной степени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новым и существующим судам,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любые отличия в применении потребуют внесения поправок в Кодекс.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Проведено широкое обсуждение суточного рациона</w:t>
      </w:r>
      <w:r w:rsidR="00E0562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питания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Международная ассоциация круизных линий (CLIA) посчитала, что для спасательной шлюпки на 150 человек согласно конвенции СОЛАС следует добавить дополнительный комбинированный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рацион питания и воды весом 1,2 тонн. Для спасательных плотов этот дополнительный вес также будет очень значительным. Это огромное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увеличение по сравнению 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требовани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ями 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одекса LSA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и этот факт значительно повлияет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существующие спасательные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спусковые устройства, не предназначенные для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перевозки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такого </w:t>
      </w:r>
      <w:r w:rsidR="00D41C07">
        <w:rPr>
          <w:rFonts w:ascii="Times New Roman" w:eastAsia="Times New Roman" w:hAnsi="Times New Roman" w:cs="Times New Roman"/>
          <w:sz w:val="24"/>
          <w:szCs w:val="24"/>
          <w:lang w:bidi="ru-RU"/>
        </w:rPr>
        <w:t>увеличения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веса.</w:t>
      </w:r>
    </w:p>
    <w:p w:rsidR="003461E2" w:rsidRPr="003461E2" w:rsidRDefault="00D41C07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вместимост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ых средств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пришла к согласию, что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количество посадочных мест к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аждо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спасательно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средств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отрегулировать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учетом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одежд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ы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полярных условий, д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ополнительно</w:t>
      </w:r>
      <w:r w:rsidR="0002299C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оборудовани</w:t>
      </w:r>
      <w:r w:rsidR="0002299C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включая всех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лиц, имеющих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индивидуальное спасательное оборудование, а также мест для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стояния и перемещения.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Вследствие ограничений по времени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6 сессия SSE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смог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рассмотреть варианты разработки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 определении «максимального ожидаемого времени спас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ния» и применения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нового Руководства по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испытания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оценке спасательных средств и устройств для судов,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эксплуатирующихся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полярных водах.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отношении спасательных средств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необходимы Руководства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испытани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ям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оценке в следующих областях: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Испытания всех спасательных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целях подтверждения их работоспособности в условиях полярн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ых температур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Надежность оборудования спасательного </w:t>
      </w:r>
      <w:r w:rsidR="00423778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FE2FF7" w:rsidRPr="00FE2FF7" w:rsidRDefault="00FE2FF7" w:rsidP="00FE2FF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Термокостюмы для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детей: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требованиями 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8.3.3.1.1 части I-A Полярного кодекса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наличие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утепленного термокостюма или теплозащитного средства для всех людей на борту, включая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детей, в то время как кодексом LSA не предусмотрены специальные требования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термо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костюмам для детей;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FE2FF7" w:rsidRPr="00FE2FF7" w:rsidRDefault="00FE2FF7" w:rsidP="00FE2FF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F7">
        <w:rPr>
          <w:rFonts w:ascii="Times New Roman" w:hAnsi="Times New Roman"/>
          <w:color w:val="000000" w:themeColor="text1"/>
          <w:sz w:val="24"/>
          <w:szCs w:val="24"/>
        </w:rPr>
        <w:t>Эксплуатация спасательных и дежурных средств в наихудших ледовых условиях, в которых планируется эксплуатация судна: проект временного руководства требует, чтобы спасательные и дежурные</w:t>
      </w:r>
      <w:r w:rsidR="00D56D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FF7">
        <w:rPr>
          <w:rFonts w:ascii="Times New Roman" w:hAnsi="Times New Roman"/>
          <w:color w:val="000000" w:themeColor="text1"/>
          <w:sz w:val="24"/>
          <w:szCs w:val="24"/>
        </w:rPr>
        <w:t>средства выдерживали воздействие от буксировки в колотом льду. Однако, предположения о ледовой нагрузке согласованы не были</w:t>
      </w:r>
      <w:r w:rsidRPr="00FE2FF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Рассмотрение главы II-2 СОЛАС и соответствующих кодексов в целях минимизации возникновения и последствия пожаров в </w:t>
      </w:r>
      <w:r w:rsidR="00FE2FF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помещениях с горизонтальным способом погрузки и выгрузки (помещениях </w:t>
      </w:r>
      <w:proofErr w:type="spellStart"/>
      <w:r w:rsidR="00FE2FF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ро-ро</w:t>
      </w:r>
      <w:proofErr w:type="spellEnd"/>
      <w:r w:rsidR="00FE2FF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) и помещениях</w:t>
      </w:r>
      <w:r w:rsidR="00D56DF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специально</w:t>
      </w:r>
      <w:r w:rsidR="009C3A0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й категории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FE2FF7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на 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новых и существующих </w:t>
      </w:r>
      <w:r w:rsidR="009C3A0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пассажирских судах </w:t>
      </w:r>
      <w:proofErr w:type="spellStart"/>
      <w:r w:rsidR="009C3A0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ро-ро</w:t>
      </w:r>
      <w:proofErr w:type="spellEnd"/>
    </w:p>
    <w:p w:rsidR="003461E2" w:rsidRPr="003461E2" w:rsidRDefault="009C3A0C" w:rsidP="003461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На 5 сессии</w:t>
      </w:r>
      <w:r w:rsidR="00D56DF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вновь учре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ждена Корреспондентская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противопожарной защите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FP</w:t>
      </w:r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) в целях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разработк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проекта временн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ого руководства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минимизации возникновения и последствия </w:t>
      </w:r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пожаров </w:t>
      </w:r>
      <w:r w:rsidR="009C3A0C"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помещениях с горизонтальным способом погрузки и выгрузки (помещениях </w:t>
      </w:r>
      <w:proofErr w:type="spellStart"/>
      <w:r w:rsidR="009C3A0C"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="009C3A0C"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) и помещениях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C3A0C"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специальной категории 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пассажирских суд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ах </w:t>
      </w:r>
      <w:proofErr w:type="spellStart"/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разработк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поправок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СОЛАС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1974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 соответствующи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кодекс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ам с учетом их применимости 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существующим судам;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определение других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применимых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инструментов, требующих последующей корректировки.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3461E2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временно</w:t>
      </w:r>
      <w:r w:rsidR="009C3A0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го руководства</w:t>
      </w:r>
    </w:p>
    <w:p w:rsidR="003461E2" w:rsidRPr="003461E2" w:rsidRDefault="009C3A0C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 согласован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временно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го руководства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минимизации возникновения и последствий пожаров </w:t>
      </w:r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помещениях с горизонтальным способом погрузки и выгрузки (помещениях </w:t>
      </w:r>
      <w:proofErr w:type="spellStart"/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) и помещениях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специальной категории 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пассажирских суд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связанный с ним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КБМ с целью последующего его утверждения на 101 сессии 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Принимая во внимание мнения, высказанные в отчете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корреспондентской группы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результирующий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документ FIRESAFE II, Подкомитет кратко изложил положения по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осмотру и техническому обслуживанию электрических кабелей и </w:t>
      </w:r>
      <w:r w:rsidR="009C3A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розеток,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используя язык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целевых стандартов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Было принято решение упростить: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положения по защите силовых кабельных 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>розеток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 отказов и перегрузок, изложив их сжатым языком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целевых стандартов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положения по усиленной пожарной охране и использованию переносных тепловизионных приборов;</w:t>
      </w:r>
    </w:p>
    <w:p w:rsidR="003461E2" w:rsidRPr="003461E2" w:rsidRDefault="003461E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положения по устранению источников возгорания при исследовании различных опасностей на 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альтернативной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двигательной установкой.</w:t>
      </w:r>
    </w:p>
    <w:p w:rsidR="00CC108A" w:rsidRDefault="00CC108A" w:rsidP="00CC108A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461E2" w:rsidRPr="003461E2" w:rsidRDefault="003461E2" w:rsidP="00CC108A">
      <w:pPr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Добавлены положения по отверстиям 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помещений </w:t>
      </w:r>
      <w:proofErr w:type="spellStart"/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защите спаса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тельных средств и станций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посадки через эти отверстия и обеспечению заблаговременного включения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дренчерных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систем.</w:t>
      </w:r>
    </w:p>
    <w:p w:rsidR="003461E2" w:rsidRPr="003461E2" w:rsidRDefault="003461E2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Кроме того, также было принято решение по 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временно</w:t>
      </w:r>
      <w:r w:rsidR="00CC10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 руководства, такого как раздел 1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 предотвращению возгорания для всех судов, в то время как остальная часть директивы рекомендована для новых судов, если особым образом не указано иное.</w:t>
      </w:r>
    </w:p>
    <w:p w:rsidR="003461E2" w:rsidRPr="003461E2" w:rsidRDefault="003461E2" w:rsidP="003461E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поправ</w:t>
      </w:r>
      <w:r w:rsidR="00CC108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к к Конвенции </w:t>
      </w:r>
      <w:r w:rsidR="00CC108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СОЛАС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1974 и соответствующим кодексам</w:t>
      </w:r>
    </w:p>
    <w:p w:rsidR="003461E2" w:rsidRPr="003461E2" w:rsidRDefault="00CC108A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SSE, вследствие нехватки времени, не смог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рассмотреть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 всех поправок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 Конвенции СОЛАС и предлож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енных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основанны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сообщениях об авариях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сводном исследовании FIRESAFE II. </w:t>
      </w:r>
    </w:p>
    <w:p w:rsidR="003461E2" w:rsidRPr="003461E2" w:rsidRDefault="003461E2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Это было выполнено с учетом того, что в ходе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потребуется дальнейшее рассмотрение отчета FIRESAFE II, в частности, в свете предложенного анализа отчета группой экспертов FSA, которая должна быть учреждена на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101 сессии КБМ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Определение других со</w:t>
      </w:r>
      <w:r w:rsidR="0008446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путствующих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инструментов, требующих последующей корректировки</w:t>
      </w:r>
    </w:p>
    <w:p w:rsidR="003461E2" w:rsidRPr="003461E2" w:rsidRDefault="00084467" w:rsidP="0034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лено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что, возможно, потребуется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повторное рассмотрение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пересмотренной директивы MSC.1/Circ.1430/ред.1 по проектированию и утверждению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стационарных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водяного 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помещений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помещений специальной категории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</w:t>
      </w:r>
      <w:r w:rsidR="0008446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поправок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к </w:t>
      </w:r>
      <w:r w:rsidR="0008446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ересмотренно</w:t>
      </w:r>
      <w:r w:rsidR="0008446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му руководству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по техническому обслуживанию и </w:t>
      </w:r>
      <w:r w:rsidR="00084467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проверке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систем и средств противопожарной защиты (MSC.1/Circ.1432)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правиле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II-2/20.6.1 приведены требования к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стационарным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системам водяного пожаротушения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, установленным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борту пассажирских судов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2018 г. в Китае были проведены испытания 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стационарной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системы водяного пожаротушения на борту свыше 20 пассажирских судов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занятых в международных перевозках, и 40 пассажирских судов</w:t>
      </w:r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84467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занятых во внутренних перевозках.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Испытания показали, что почти 30% форсунок не пропускает воду, в основном, по причине их закупорки ржавчиной и гравием.</w:t>
      </w:r>
    </w:p>
    <w:p w:rsidR="003461E2" w:rsidRPr="003461E2" w:rsidRDefault="00084467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6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отмечено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</w:t>
      </w:r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>поскольку П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ересмотренн</w:t>
      </w:r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>ое руководство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будет применяться ко всем судам, проект поправок к </w:t>
      </w:r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руководству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выходит за пределы минимизации возникновения и последствий пожаров на пассажирских судах</w:t>
      </w:r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Эти поправки должны быть более универсальными, а следовательно, требуется новый подход к этому вопросу.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Основные темы и структура исследования FIRESAFE II - ЕС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Исследование FIRESAFE II состоит из двух основных частей, основанных на методологии Официальной оценки безопасности (FSA), и двух частей, посвященных испытаниям, в частности, альтернативных систем пожарной сигнализации для открытых </w:t>
      </w:r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помещений </w:t>
      </w:r>
      <w:proofErr w:type="spellStart"/>
      <w:r w:rsidR="00616F65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верхних палуб, а также альтернативных </w:t>
      </w:r>
      <w:r w:rsidR="00ED6BB5">
        <w:rPr>
          <w:rFonts w:ascii="Times New Roman" w:eastAsia="Times New Roman" w:hAnsi="Times New Roman" w:cs="Times New Roman"/>
          <w:sz w:val="24"/>
          <w:szCs w:val="24"/>
          <w:lang w:bidi="ru-RU"/>
        </w:rPr>
        <w:t>стационарных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пожаротушения.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К основным темам исследования FIRESAFE II относятся обнаружение, решение, локализация и эвакуация в части пожарной безопасности </w:t>
      </w:r>
      <w:r w:rsidR="00ED6B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помещений </w:t>
      </w:r>
      <w:proofErr w:type="spellStart"/>
      <w:r w:rsidR="00ED6BB5">
        <w:rPr>
          <w:rFonts w:ascii="Times New Roman" w:eastAsia="Times New Roman" w:hAnsi="Times New Roman" w:cs="Times New Roman"/>
          <w:sz w:val="24"/>
          <w:szCs w:val="24"/>
          <w:lang w:bidi="ru-RU"/>
        </w:rPr>
        <w:t>ро-ро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ED6BB5">
        <w:rPr>
          <w:rFonts w:ascii="Times New Roman" w:eastAsia="Times New Roman" w:hAnsi="Times New Roman" w:cs="Times New Roman"/>
          <w:sz w:val="24"/>
          <w:szCs w:val="24"/>
          <w:lang w:bidi="ru-RU"/>
        </w:rPr>
        <w:t>помещений специальной категории и помещений для транспортных средств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комбинированная оценка (с FIRESAFE I) по результатам исследования.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Следует подчеркнуть, что будут разработаны конкретные предложения по поправкам </w:t>
      </w:r>
      <w:r w:rsidR="00ED6BB5">
        <w:rPr>
          <w:rFonts w:ascii="Times New Roman" w:eastAsia="Times New Roman" w:hAnsi="Times New Roman" w:cs="Times New Roman"/>
          <w:sz w:val="24"/>
          <w:szCs w:val="24"/>
          <w:lang w:bidi="ru-RU"/>
        </w:rPr>
        <w:t>к Временному руководству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особенно для </w:t>
      </w:r>
      <w:r w:rsidR="001B7D0D">
        <w:rPr>
          <w:rFonts w:ascii="Times New Roman" w:eastAsia="Times New Roman" w:hAnsi="Times New Roman" w:cs="Times New Roman"/>
          <w:sz w:val="24"/>
          <w:szCs w:val="24"/>
          <w:lang w:bidi="ru-RU"/>
        </w:rPr>
        <w:t>экономически целесообразных диапазонов контроля рисков/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RCO.</w:t>
      </w:r>
    </w:p>
    <w:p w:rsidR="003461E2" w:rsidRPr="003461E2" w:rsidRDefault="001B7D0D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пришла к соглашению,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что группа экспертов FSA (FSA EG) проведет изучение исследования между сессиями; отчет об изучении будет представлен непосредственно на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Поправки к MSC.1/Circ.1315</w:t>
      </w:r>
    </w:p>
    <w:p w:rsidR="003461E2" w:rsidRPr="003461E2" w:rsidRDefault="001B7D0D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5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в процессе рассмотрения проекта поправок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руководству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 одобрению стационарных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порошкового пожаротушения, предназначенных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защиты судов, перевозящих сжиженные газы наливом (MSC.1/Circ.1315), согласился, что бикарбонат натрия следует исключить из приемлемых огнетушащих порошков на судах, перевозящих сжиженные газы наливом.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1B7D0D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отметил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необходимость дальнейшей разработки критериев, согласно которым порошок может рассматриваться как порошок бикарбоната натрия (например, массовая доля основного вещества), в противовес сухому порошку на базе натрия.</w:t>
      </w:r>
    </w:p>
    <w:p w:rsidR="003461E2" w:rsidRPr="003461E2" w:rsidRDefault="001B7D0D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усовершенствовал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поправок к измененно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 руководству по одобрению стационарных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порошкового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пожаротушения для защиты судов, перевозящих сжиженные газы наливом (MSC.1/Circ.1315) для последующего рассмотрения на предстоящих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заседаниях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предложил исключить бикарбонат натрия из основных компонентов сухой химической смеси, однако, прийти к единому мнению по полному запрету не удалось. Так как основным компонентом огнетушащего порошка должны быть калийные соли, считается, что не следует исключать использование нового огнетушащего порошка, состоящего в большей степени из химических компонентов, подобных или превосходящих действие калийных солей по всем аспектам при условии соответствия требованиям испытаний.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Также было принято решение, что альтернативные реагенты,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одобренные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соответствии со всеми критериями эффективности, приведенными в проекте пересмотренно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го руководства,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должны рассматриваться как огнетушащие смеси независимо от их состава (калийные соли).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685542" w:rsidRDefault="003461E2" w:rsidP="003461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85542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Требования </w:t>
      </w:r>
      <w:r w:rsidR="00685542" w:rsidRPr="00685542">
        <w:rPr>
          <w:rFonts w:ascii="Times New Roman" w:eastAsia="Times New Roman" w:hAnsi="Times New Roman"/>
          <w:b/>
          <w:sz w:val="24"/>
          <w:szCs w:val="24"/>
          <w:lang w:bidi="ru-RU"/>
        </w:rPr>
        <w:t>по появлению</w:t>
      </w:r>
      <w:r w:rsidRPr="00685542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 неисправностей для </w:t>
      </w:r>
      <w:r w:rsidR="00685542" w:rsidRPr="00685542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грузовых судов и балконов кают пассажирских судов, на которых установлены индивидуальные системы обнаружения пожара 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 согласован новый подход к требованиям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по появлению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неисправностей для </w:t>
      </w:r>
      <w:r w:rsidR="00685542" w:rsidRPr="00685542">
        <w:rPr>
          <w:rFonts w:ascii="Times New Roman" w:eastAsia="Times New Roman" w:hAnsi="Times New Roman"/>
          <w:sz w:val="24"/>
          <w:szCs w:val="24"/>
          <w:lang w:bidi="ru-RU"/>
        </w:rPr>
        <w:t>грузовых судов и балконов кают пассажирских судов, на которых установлены индивидуальные системы обнаружения пожара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Поправки к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одексу FSS, принятые на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88 сессии КБМ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88, содержат более жесткие требования к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появлению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неисправностей для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индивидуальных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по сравнению с составными системами.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принятии решения о типе системы пожарной сигнализации, устанавливаемой на балконах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кают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грузовых или пассажирских судов, производится оценка стоимости и сложности обеспечения отдельных систем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появления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неисправностей в сравнении с составными системами, принимая во внимание повышенную безопасность,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обеспечиваемую отдельной системой пожарной сигнализации по сравнению с составной системой.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Однако, существуют системы, комбинирующие обеспечение повышенной безопасности при помощи детекторов отдельной системы пожарной сигнализации, требуемые для пассажирских судов, с меньшей сложностью и стоимостью составной системы локализации неисправностей.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целях стимулирования использования таких систем на мировом единообразном уровне необходимо внести поправки к требованиям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по появлению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неисправностей для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индивидуальных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 пожарной сигнализации, устанавливаемых вместо составных систем пожарной сигнализации на балконах </w:t>
      </w:r>
      <w:r w:rsidR="00685542">
        <w:rPr>
          <w:rFonts w:ascii="Times New Roman" w:eastAsia="Times New Roman" w:hAnsi="Times New Roman" w:cs="Times New Roman"/>
          <w:sz w:val="24"/>
          <w:szCs w:val="24"/>
          <w:lang w:bidi="ru-RU"/>
        </w:rPr>
        <w:t>кают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грузовых и пассажирских судов. </w:t>
      </w:r>
    </w:p>
    <w:p w:rsidR="003461E2" w:rsidRPr="003461E2" w:rsidRDefault="0068554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приняла решение просить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заинтересованные страны-участники и международные организации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 следующей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комментарии и предложения к проекту поправок, подготовленн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ым на 98 сессии 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Требования к </w:t>
      </w:r>
      <w:r w:rsidR="00F3639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судовым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грузоподъемным устройствам и якорным лебедкам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SSE5 рассмотрел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целе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- и функционально-ориентированные по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ложения СОЛАС, касающиеся судовых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грузоподъемных устройств и якорных лебедок (</w:t>
      </w:r>
      <w:r w:rsidRPr="0002299C">
        <w:rPr>
          <w:rFonts w:ascii="Times New Roman" w:eastAsia="Times New Roman" w:hAnsi="Times New Roman" w:cs="Times New Roman"/>
          <w:sz w:val="24"/>
          <w:szCs w:val="24"/>
          <w:lang w:bidi="ru-RU"/>
        </w:rPr>
        <w:t>OLAW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), уделив особое внимание типам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оборудования, безопасн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ой рабочей нагрузке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(SWL), области применения, осмотр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испытания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обучении и квалификации экипажа судна и берегового персонала, съемным грузозахватным приспособлениям, предостав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ляемым с берега, а также проекту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36391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руководства, рассматривающего цели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функциональные требования.</w:t>
      </w:r>
    </w:p>
    <w:p w:rsidR="003461E2" w:rsidRPr="003461E2" w:rsidRDefault="00B42950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950">
        <w:rPr>
          <w:rFonts w:ascii="Times New Roman" w:eastAsia="Times New Roman" w:hAnsi="Times New Roman" w:cs="Times New Roman"/>
          <w:sz w:val="24"/>
          <w:szCs w:val="24"/>
          <w:lang w:bidi="ru-RU"/>
        </w:rPr>
        <w:t>100 сессия КБМ пришла к соглашению,</w:t>
      </w:r>
      <w:r w:rsidR="003461E2" w:rsidRPr="00B429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что при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составлении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соответствующего проекта поправок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в отношении OLAW следует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принять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подход «перечня включений с некоторыми исключениями», а также учитывать, что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судовые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грузоподъемные устройства, установленные на </w:t>
      </w:r>
      <w:r w:rsidR="002A514A" w:rsidRP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суд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ах</w:t>
      </w:r>
      <w:r w:rsidR="002A514A" w:rsidRP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обеспечения работ по монтажу морских установок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должны быть исключены из новых требований. В результате К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поручил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рассмотреть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вопрос, какие грузоподъемные устройства и лебедки должны быть указаны в проекте поправок.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Некоторые делегации считают, что, учитывая сложности, возникшие в связи с подходом </w:t>
      </w:r>
      <w:r w:rsidRPr="0002299C">
        <w:rPr>
          <w:rFonts w:ascii="Times New Roman" w:eastAsia="Times New Roman" w:hAnsi="Times New Roman" w:cs="Times New Roman"/>
          <w:sz w:val="24"/>
          <w:szCs w:val="24"/>
          <w:lang w:bidi="ru-RU"/>
        </w:rPr>
        <w:t>GBS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и не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смотря 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риск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возникновения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прецедента для будущих новых положений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СОЛАС,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предложенные правила СОЛАС с предписывающими требованиями должны быть использованы для решения давно существующих вопросов,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требующих практического и прагматич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ного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подхода. Принимая во внимание выводы 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100 сессии КБМ на основания опыта, полученного в ходе при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менения Общ</w:t>
      </w:r>
      <w:r w:rsidR="002A514A">
        <w:rPr>
          <w:rFonts w:ascii="Times New Roman" w:eastAsia="Times New Roman" w:hAnsi="Times New Roman" w:cs="Times New Roman"/>
          <w:sz w:val="24"/>
          <w:szCs w:val="24"/>
          <w:lang w:bidi="ru-RU"/>
        </w:rPr>
        <w:t>их руководств по разработке целевых стандартов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ИМО (MSC.1/Circ.1394/Rev.1), </w:t>
      </w:r>
      <w:r w:rsidR="00EB623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применение любого приемлемого подхода должно быть прерогативой соответствующего органа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Организации.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обсуждения</w:t>
      </w:r>
      <w:r w:rsidR="00EB623B">
        <w:rPr>
          <w:rFonts w:ascii="Times New Roman" w:eastAsia="Times New Roman" w:hAnsi="Times New Roman" w:cs="Times New Roman"/>
          <w:sz w:val="24"/>
          <w:szCs w:val="24"/>
          <w:lang w:bidi="ru-RU"/>
        </w:rPr>
        <w:t>, 6 сессия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SSE согласил</w:t>
      </w:r>
      <w:r w:rsidR="00EB623B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EB623B">
        <w:rPr>
          <w:rFonts w:ascii="Times New Roman" w:eastAsia="Times New Roman" w:hAnsi="Times New Roman" w:cs="Times New Roman"/>
          <w:sz w:val="24"/>
          <w:szCs w:val="24"/>
          <w:lang w:bidi="ru-RU"/>
        </w:rPr>
        <w:t>ь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выбрать предписывающий подход. 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Проект </w:t>
      </w:r>
      <w:r w:rsidR="003C7B0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правила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II-1/3-13</w:t>
      </w:r>
      <w:r w:rsidR="003C7B04" w:rsidRPr="003C7B0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3C7B04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СОЛАС</w:t>
      </w:r>
    </w:p>
    <w:p w:rsidR="003461E2" w:rsidRPr="003461E2" w:rsidRDefault="00EB623B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согласил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ь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проектом 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 </w:t>
      </w:r>
      <w:r w:rsidR="003C7B04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целью его представления в 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омитет по безопасности на море совместно с соответствующ</w:t>
      </w:r>
      <w:r w:rsidR="003C7B04">
        <w:rPr>
          <w:rFonts w:ascii="Times New Roman" w:eastAsia="Times New Roman" w:hAnsi="Times New Roman" w:cs="Times New Roman"/>
          <w:sz w:val="24"/>
          <w:szCs w:val="24"/>
          <w:lang w:bidi="ru-RU"/>
        </w:rPr>
        <w:t>им Руководством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после окончательного согласования.</w:t>
      </w:r>
    </w:p>
    <w:p w:rsidR="003461E2" w:rsidRPr="003461E2" w:rsidRDefault="003C7B04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 сессия SSE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внесла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изменения в проект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II-1/3-13.3</w:t>
      </w:r>
      <w:r w:rsidR="00F64D1D" w:rsidRP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64D1D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в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ключая его название, в котором содержатся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положения по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разобщающим устройствам и сопутствующему оборудованию, не подпадающему под требования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проекта правил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II-1/3-13.1 и II-1/3-13.2</w:t>
      </w:r>
      <w:r w:rsidR="00F64D1D" w:rsidRP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64D1D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с целью просить Администрацию установить критерии 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спытаний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путем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оценки, осмотра, эксплуатации и технического обслуживания OLAW, обеспечивая гибкость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того, как это может быть достигнуто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провел длительное обсуждение по вопросу включения «кранов с ручным управлением» в определение «грузоподъемн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ое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устройств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и решил, что, несмотря на факт отсутствия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свидетельства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особой обеспокоенности, непосредственный риск безопасности жизни и последствия происшествий обеспечили их включение.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Наряду с решением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100 сессии КБМ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применении принципа включений с некоторыми исключениями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64D1D">
        <w:rPr>
          <w:rFonts w:ascii="Times New Roman" w:eastAsia="Times New Roman" w:hAnsi="Times New Roman" w:cs="Times New Roman"/>
          <w:sz w:val="24"/>
          <w:szCs w:val="24"/>
          <w:lang w:bidi="ru-RU"/>
        </w:rPr>
        <w:t>было решено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включить все оборудование, к которому применяется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определении «Грузоподъемные устройства» (включения), и разработать перечень исключений в рамках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II-1/3-13.1.2 (Применение).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Пороговое значение для OLAW и перечень включений и исключений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ходе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 сессии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были высказаны различные мнения в отношении соответствующих вариантов пороговых значений безопасн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эксплуатационн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нагрузк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и/SWL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но Группа не смогла прийти к единому мнению по этому вопросу.</w:t>
      </w:r>
    </w:p>
    <w:p w:rsidR="003461E2" w:rsidRPr="003461E2" w:rsidRDefault="003461E2" w:rsidP="00346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Был предложен альтернативный подход, а именно:</w:t>
      </w:r>
    </w:p>
    <w:p w:rsidR="003461E2" w:rsidRPr="003461E2" w:rsidRDefault="00350CC2" w:rsidP="003461E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Применение режима освидетельствования и сертификации для соответствующих устройств должно быть предусмотрено в соответствии с пороговым значением 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равным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1000 кг; </w:t>
      </w:r>
    </w:p>
    <w:p w:rsidR="003461E2" w:rsidRPr="003461E2" w:rsidRDefault="003461E2" w:rsidP="003461E2">
      <w:pPr>
        <w:numPr>
          <w:ilvl w:val="0"/>
          <w:numId w:val="1"/>
        </w:numPr>
        <w:spacing w:after="0" w:line="21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Остальные функциональные требования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должны применяться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о всем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устройствам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независимо от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безопасных эксплуатационных нагрузок.</w:t>
      </w:r>
    </w:p>
    <w:p w:rsidR="003461E2" w:rsidRPr="003461E2" w:rsidRDefault="003461E2" w:rsidP="003461E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Однако, существовали различные мнения по этому подходу, и Группа не смогла четко определить, какие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относятся к «режиму </w:t>
      </w:r>
      <w:r w:rsid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>освидетельствования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сертификации», а какие могут быть применены ко всем устройствам, независимо от их безопасных эксплуатационных нагрузок.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350CC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пришла к соглашению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пороговое значение 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 w:rsidRPr="00350CC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нагрузки для якорных лебедок может не применяться по причине отсутствия на судах СОЛАС (500 </w:t>
      </w:r>
      <w:r w:rsidRPr="00D5217B">
        <w:rPr>
          <w:rFonts w:ascii="Times New Roman" w:eastAsia="Times New Roman" w:hAnsi="Times New Roman" w:cs="Times New Roman"/>
          <w:sz w:val="24"/>
          <w:szCs w:val="24"/>
          <w:lang w:bidi="ru-RU"/>
        </w:rPr>
        <w:t>регистровых тонн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выше) лебедок с максимальным тяговым усилием 1000 или 500 кг, так как такое тяговое усилие будет недостаточно для заводки якорей на этих судах.</w:t>
      </w:r>
    </w:p>
    <w:p w:rsidR="003461E2" w:rsidRPr="003461E2" w:rsidRDefault="003461E2" w:rsidP="003461E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D5217B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обратить внимание на то, что требования по проектированию грузоподъемных устройств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разработанные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МОТ (МОТ C152, например, статьи 21,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22, 23, 24 и 27), государственными органами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(напр., Европейская директива по машинам и механизмам), признанны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ями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содержащиеся в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промышленных стандарт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(напр., EN 13001) применимы ко всем грузоподъемным устройствам независимо от их 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D5217B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приняла решение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удалить порогов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е предельн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е значени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проект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 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II-1/3-13.1.1 и обратить внимание</w:t>
      </w:r>
      <w:r w:rsidR="00A45FE3">
        <w:rPr>
          <w:rFonts w:ascii="Times New Roman" w:eastAsia="Times New Roman" w:hAnsi="Times New Roman" w:cs="Times New Roman"/>
          <w:sz w:val="24"/>
          <w:szCs w:val="24"/>
          <w:lang w:bidi="ru-RU"/>
        </w:rPr>
        <w:t>, при составлении проекта положений об «исключениях»,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оборудование с меньшей грузоподъемностью, на которое не распространяются требования системы обязательного 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>освидетельствования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сертификации судов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соответствие требованиям конвенции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СОЛАС, глава I.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После длительного обсуждения 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7D3A1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>ась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включить проект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II-1/3-13.1.3, 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предоставляющего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D3A1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7D3A1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гибкость 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вопросе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применения проект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>а правил конвенции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II-1/3-13.2.1 и II-1/3-13.2.4 к грузоподъемным устройствам</w:t>
      </w:r>
      <w:r w:rsidR="007D3A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имеющим </w:t>
      </w:r>
      <w:r w:rsidR="007D3A1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менее 1000 кг.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согласовани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того, что якорные лебедки не должны иметь нижнего порога применения в новом проект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е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СОЛАС, 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A742D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ась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ограничить применение грузоподъемных устройств 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проектом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II-1/3-13.1.3</w:t>
      </w:r>
      <w:r w:rsidR="00A742D8" w:rsidRP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</w:t>
      </w:r>
      <w:r w:rsidR="00A742D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допускающ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им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гибко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сть в отношении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оборудования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имеющего </w:t>
      </w:r>
      <w:r w:rsidR="00A742D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менее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1000 кг. 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Вопрос пороговых значений в пункте «Исключения» позволяет дифференцировать соответствующие типы требований, напр., к эксплуатации или проектированию.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Маркировка грузоподъемных </w:t>
      </w:r>
      <w:r w:rsidR="00A742D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приспособлений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 </w:t>
      </w:r>
      <w:r w:rsidR="00A742D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разобщающих устройств</w:t>
      </w:r>
    </w:p>
    <w:p w:rsidR="003461E2" w:rsidRPr="003461E2" w:rsidRDefault="00A742D8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согласилась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что на существующие и новые грузоподъемные приспособления должна наноситься маркировка с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указанием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SWL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основании проекта 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II-1/3-13.2.3 и соответствующе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го Руководства, тогда как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маркировка якорных лебедок является более сложным вопросом,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которого следует обращаться к Руководству по якорных лебедкам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Проектирование и изготовление якорных лебедок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провел длительное обсуждение необходимости соответствия проектирования и изготовления якорных лебедок правилам классификационного общества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, сделал вывод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ему известно всего несколько классификационных обществ, 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имеющих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правила для якорных лебедок и, в конечном итоге, решил обращаться исключительно к Администрациям, как указ</w:t>
      </w:r>
      <w:r w:rsid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>ывается в проекте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II-1/3-13.2.2</w:t>
      </w:r>
      <w:r w:rsidR="00A742D8" w:rsidRPr="00A742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742D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A742D8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lastRenderedPageBreak/>
        <w:t>Гармонизация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 во</w:t>
      </w:r>
      <w:r w:rsidR="00E5530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зможное дублирование требований, приведенных в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МОТ C152 и новом проект</w:t>
      </w:r>
      <w:r w:rsidR="00E5530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е правила</w:t>
      </w:r>
      <w:r w:rsidR="003461E2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II-1/3-13</w:t>
      </w:r>
      <w:r w:rsidR="00E55306" w:rsidRPr="00E5530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E55306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СОЛАС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Некоторые делегации выразили свою обеспокоенность в отношении возможного дублирования требований к судам,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которые должны отвечать требованиям, приведенным 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МОТ C152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 новом проект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е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II-1/3-13</w:t>
      </w:r>
      <w:r w:rsidR="00E55306" w:rsidRP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особенно в отношении требований к оценке и проверке нагрузки.</w:t>
      </w:r>
    </w:p>
    <w:p w:rsidR="003461E2" w:rsidRPr="003461E2" w:rsidRDefault="003461E2" w:rsidP="003461E2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После обсуждения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ась с тем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существующие требования МОТ C152 не должны приводить к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созданию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дополнительных требований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к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аналогичному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оборудованию, но 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подробные разъяснения и уточнения должны быть включены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Неисправные/неработающие грузоподъемные устройства и якорные лебедки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Обсуждались условия и обстоятельства, при которых неработающие OLAW делают судно непригодным к плаванию, а также меры,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которые должны быть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предпри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няты для восстановления мореходных качеств до захода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следующий порт.</w:t>
      </w:r>
    </w:p>
    <w:p w:rsidR="003461E2" w:rsidRPr="003461E2" w:rsidRDefault="00E55306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ась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невозможно составить исчерпывающий перечень действий, предусматривающий все возможные обстоятельства, и включить их в проект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 по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грузоподъемны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устройств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якорны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лебедк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Проект </w:t>
      </w:r>
      <w:r w:rsidR="00E5530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Руководства по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безопасности </w:t>
      </w:r>
      <w:r w:rsidR="00E55306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судовых</w:t>
      </w:r>
      <w:r w:rsidR="00E55306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грузоподъемных устройств и якорных лебедок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Вследствие ограниченности по времени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 смог рассмотреть и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далее про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работать два комплекта проектов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 по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безопасности 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судо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вых грузоподъемн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ых устройств и якорных лебедок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соответственно</w:t>
      </w:r>
      <w:r w:rsidR="00E5530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E55306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решил</w:t>
      </w:r>
      <w:r w:rsidR="004B72D9">
        <w:rPr>
          <w:rFonts w:ascii="Times New Roman" w:eastAsia="Times New Roman" w:hAnsi="Times New Roman" w:cs="Times New Roman"/>
          <w:sz w:val="24"/>
          <w:szCs w:val="24"/>
          <w:lang w:bidi="ru-RU"/>
        </w:rPr>
        <w:t>а, что эти задачи могут быть рассмотрены Корреспондентской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B72D9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Разработка </w:t>
      </w:r>
      <w:r w:rsidR="004B72D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руководства по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подаче электроэнергии на суда с берега и поправок к главам II-1 и II-2 </w:t>
      </w:r>
      <w:r w:rsidR="004B72D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конвенции 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СОЛАС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основании результатов работы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Корреспондентской </w:t>
      </w:r>
      <w:r w:rsidR="00467BFD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группы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созданной в ходе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 xml:space="preserve">5 сессии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SSE,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467BFD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посчитал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преждевременным назначать проектную группу для разработки проекта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 и,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следовательно,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эта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должна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быть продолжена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Корреспондентской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Эт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должн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смешивать аспекты стандартизации и эксплуатации в целях предотвращения дублирования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существующих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международны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стандарт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Поэтому следует </w:t>
      </w:r>
      <w:r w:rsidR="00467BFD">
        <w:rPr>
          <w:rFonts w:ascii="Times New Roman" w:eastAsia="Times New Roman" w:hAnsi="Times New Roman" w:cs="Times New Roman"/>
          <w:sz w:val="24"/>
          <w:szCs w:val="24"/>
          <w:lang w:bidi="ru-RU"/>
        </w:rPr>
        <w:t>сфокусироваться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только на эксплуатационных аспектах и не касаться разработки технических требований.</w:t>
      </w:r>
    </w:p>
    <w:p w:rsidR="003461E2" w:rsidRPr="003461E2" w:rsidRDefault="00C53A21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приняла решение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учредить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ежсессионную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Корреспондентскую группу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дальнейшей разработки проекта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 по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безопасной эксплуатации береговых служб электроснабже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ния (OPS) в порту для судов, занятых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рейсах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ходе обсуждения было высказано мнение, что следует избегать обязательного характера </w:t>
      </w:r>
      <w:r w:rsidR="00C53A21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руководства в соответствии с конвенцией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СОЛАС, так как на судах применяются различные меры по снижению загрязняющих воздух выбросов, не ограниченные исключительно береговыми системами энергоснабжения.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Унифицированная интерпретация положений конвенций ИМО по безопасности, </w:t>
      </w:r>
      <w:r w:rsidR="00C53A2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охране</w:t>
      </w: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и вопросам</w:t>
      </w:r>
      <w:r w:rsidR="00C53A2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, связанным с защитой окружающей среды</w:t>
      </w:r>
    </w:p>
    <w:p w:rsidR="003461E2" w:rsidRPr="003461E2" w:rsidRDefault="003461E2" w:rsidP="00346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C53A21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II-2/10.10.4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рамках требований к </w:t>
      </w:r>
      <w:r w:rsidRPr="00C53A21">
        <w:rPr>
          <w:rFonts w:ascii="Times New Roman" w:hAnsi="Times New Roman"/>
          <w:color w:val="000000" w:themeColor="text1"/>
          <w:sz w:val="24"/>
          <w:szCs w:val="24"/>
        </w:rPr>
        <w:t>носимым УКВ радиостанциям аварийных пожарных партий</w:t>
      </w:r>
      <w:r w:rsidR="003461E2" w:rsidRPr="00C53A2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 частности, в отношении термина «</w:t>
      </w:r>
      <w:proofErr w:type="spellStart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взрыво</w:t>
      </w:r>
      <w:proofErr w:type="spellEnd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или </w:t>
      </w:r>
      <w:proofErr w:type="spellStart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искробезопасности</w:t>
      </w:r>
      <w:proofErr w:type="spellEnd"/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», предназначенных для определения сертифицированного типа безопасности и существенных эле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ментов в соответствии с определениями стандартов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Международной электротехнической комиссии (МЭК).</w:t>
      </w:r>
    </w:p>
    <w:p w:rsidR="003461E2" w:rsidRPr="003461E2" w:rsidRDefault="003461E2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Поправки к </w:t>
      </w:r>
      <w:r w:rsidR="00C53A21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II-2/10</w:t>
      </w:r>
      <w:r w:rsidR="00C53A21" w:rsidRPr="00C53A2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53A21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принятые резолюцией MSC.338(91), требуют, </w:t>
      </w:r>
      <w:r w:rsidR="00C53A21">
        <w:rPr>
          <w:rFonts w:ascii="Times New Roman" w:eastAsia="Times New Roman" w:hAnsi="Times New Roman" w:cs="Times New Roman"/>
          <w:sz w:val="24"/>
          <w:szCs w:val="24"/>
          <w:lang w:bidi="ru-RU"/>
        </w:rPr>
        <w:t>помимо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прочего, наличия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борту двух </w:t>
      </w:r>
      <w:r w:rsidR="00DC6474">
        <w:rPr>
          <w:rFonts w:ascii="Times New Roman" w:hAnsi="Times New Roman"/>
          <w:color w:val="000000" w:themeColor="text1"/>
          <w:sz w:val="24"/>
          <w:szCs w:val="24"/>
        </w:rPr>
        <w:t>носимых</w:t>
      </w:r>
      <w:r w:rsidR="00DC6474" w:rsidRPr="00C53A21">
        <w:rPr>
          <w:rFonts w:ascii="Times New Roman" w:hAnsi="Times New Roman"/>
          <w:color w:val="000000" w:themeColor="text1"/>
          <w:sz w:val="24"/>
          <w:szCs w:val="24"/>
        </w:rPr>
        <w:t xml:space="preserve"> УКВ радиостанци</w:t>
      </w:r>
      <w:r w:rsidR="00DC647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C6474" w:rsidRPr="00C53A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474">
        <w:rPr>
          <w:rFonts w:ascii="Times New Roman" w:hAnsi="Times New Roman"/>
          <w:color w:val="000000" w:themeColor="text1"/>
          <w:sz w:val="24"/>
          <w:szCs w:val="24"/>
        </w:rPr>
        <w:t xml:space="preserve">для каждой </w:t>
      </w:r>
      <w:r w:rsidR="00DC6474" w:rsidRPr="00C53A21">
        <w:rPr>
          <w:rFonts w:ascii="Times New Roman" w:hAnsi="Times New Roman"/>
          <w:color w:val="000000" w:themeColor="text1"/>
          <w:sz w:val="24"/>
          <w:szCs w:val="24"/>
        </w:rPr>
        <w:t>аварийн</w:t>
      </w:r>
      <w:r w:rsidR="00DC6474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DC6474" w:rsidRPr="00C53A21">
        <w:rPr>
          <w:rFonts w:ascii="Times New Roman" w:hAnsi="Times New Roman"/>
          <w:color w:val="000000" w:themeColor="text1"/>
          <w:sz w:val="24"/>
          <w:szCs w:val="24"/>
        </w:rPr>
        <w:t xml:space="preserve"> пожарн</w:t>
      </w:r>
      <w:r w:rsidR="00DC6474">
        <w:rPr>
          <w:rFonts w:ascii="Times New Roman" w:hAnsi="Times New Roman"/>
          <w:color w:val="000000" w:themeColor="text1"/>
          <w:sz w:val="24"/>
          <w:szCs w:val="24"/>
        </w:rPr>
        <w:t>ой партии.</w:t>
      </w:r>
    </w:p>
    <w:p w:rsidR="00DC6474" w:rsidRDefault="003461E2" w:rsidP="00DC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МАКО считает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, что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требование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II-2/10.10.4 </w:t>
      </w:r>
      <w:r w:rsidR="00DC6474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снижению угрозы взрыва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является достаточно неопределенным и открыто для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интерпретирования. МАКО также выявила некоторые несоответствия в реализации этого требования, в частности, в отношении термина «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взрыво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или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искробезопасность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». </w:t>
      </w:r>
    </w:p>
    <w:p w:rsidR="003461E2" w:rsidRPr="003461E2" w:rsidRDefault="003461E2" w:rsidP="00DC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понимает, что указание «искробезопасного» типа оборудования в некоторых случаях не имеет значения без указания необходимости сертифицированного типа безопасности, а также существенных элементов, определенных в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тандартах МЭК 60079 и 60092-502.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Принимая во внимание приведенный выше анализ и пояснения, представленные в MSC/Circ.1120, с учетом обеспечения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глобального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единообразного соблюдения требований </w:t>
      </w:r>
      <w:r w:rsid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II-2/10.10.4</w:t>
      </w:r>
      <w:r w:rsidR="00DC6474" w:rsidRPr="00DC647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C6474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МАКО разработала проект Унифицированной интерпретации МАКО (UI).</w:t>
      </w:r>
    </w:p>
    <w:p w:rsidR="003461E2" w:rsidRPr="003461E2" w:rsidRDefault="00DC6474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UI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главе II-2 и передал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 его 101 сессии КБМ для одобрения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унифицированной интерпретации подстрочных примечаний в положении СОЛАС II-2/9.7.5</w:t>
      </w:r>
    </w:p>
    <w:p w:rsidR="003461E2" w:rsidRPr="003461E2" w:rsidRDefault="00DC6474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предложенный 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II-2/9.7.5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конвенции СОЛАС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поправками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внесенными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резолюцией MSC.365(93), направленный на разъяснение того, что подстрочные примечания к настоящему положению не запрещают использование стационарных систем пожаротушения CO2, которые не были спроектированы или испытаны согласно ISO 15371, а также минимального количества, необходимого для защиты выпускных труб камбуза.</w:t>
      </w:r>
    </w:p>
    <w:p w:rsidR="00DC6474" w:rsidRPr="003461E2" w:rsidRDefault="00DC6474" w:rsidP="00DC647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UI в части подстрочных примечаний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правилу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II-2/9.7.5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 передал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его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101 сессии КБМ для одобрения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Применение </w:t>
      </w:r>
      <w:r w:rsidR="00DC647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расчетных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температур к трубопроводам, фитингам и соответствующим элементам</w:t>
      </w:r>
    </w:p>
    <w:p w:rsidR="00A61278" w:rsidRPr="003461E2" w:rsidRDefault="00DC6474" w:rsidP="00A6127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применени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ю расчетной температуры </w:t>
      </w:r>
      <w:r w:rsidR="00A6127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трубопроводов, фитингов и соответствующих элементов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соответствующий проект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циркуляра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предоставления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101 сессии КБМ для одобрения</w:t>
      </w:r>
      <w:r w:rsidR="00A6127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МАКО предоставила проект унифицированной интерпретации МАКО по применению проектных температур к трубопроводам, фитингам и соответствующим элементам согласно требованиям п. 11.3.6 Международного кодекса постройки и оборудования судов</w:t>
      </w:r>
      <w:r w:rsidR="00A61278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перевозящих сжиженные газы наливом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/Кодекса </w:t>
      </w:r>
      <w:r w:rsidR="00A6127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IGC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предназначенн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й для внесения ясности по вопросу рассмотрения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верхней палубы над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«топливными танками» как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части «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грузового района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, и того, следует ли при проектировании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трубопровода, фитингов и соответствующих элементов системы водораспыления в тако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районе учитывать, что оборудование должно выдерживать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температур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у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925°C.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</w:t>
      </w:r>
      <w:r w:rsidR="00A61278">
        <w:rPr>
          <w:rFonts w:ascii="Times New Roman" w:eastAsia="Times New Roman" w:hAnsi="Times New Roman" w:cs="Times New Roman"/>
          <w:sz w:val="24"/>
          <w:szCs w:val="24"/>
          <w:lang w:bidi="ru-RU"/>
        </w:rPr>
        <w:t>запросила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разъяснений по применению проектной температуры для трубопроводов, фитингов и соответствующих элементов системы водораспыления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требованиями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п. 11.3.6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Кодекса </w:t>
      </w:r>
      <w:r w:rsidR="00DC2BB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IGC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, с поправками, внесенными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резолюци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ей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MSC.370(93) (далее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– Кодекс </w:t>
      </w:r>
      <w:r w:rsidR="00DC2BB2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IGC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принимая во внимание п. 11.1.4 Кодекса.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Проект унифицированной интерпретации в отношении испытаний выброса системы </w:t>
      </w:r>
      <w:r w:rsidR="00A6127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порошкового 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пожаротушения</w:t>
      </w:r>
      <w:r w:rsidR="00DC2BB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на борту судна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и </w:t>
      </w:r>
      <w:r w:rsidR="00DC2BB2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SIGTTO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/А</w:t>
      </w:r>
      <w:r w:rsidR="00DC2BB2" w:rsidRP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ссоциация операторов газовых танкеров и терминалов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предложили новый проект унифицированной интерпретации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испытаний выброса системы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порошкового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пожаротушения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борту судна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требованиями п. 11.4.8 кодекса IGC (резолюция MSC.370(93)), направленный на разъяснение термина «достаточное количества огнетушащего порошка».</w:t>
      </w:r>
    </w:p>
    <w:p w:rsidR="003461E2" w:rsidRPr="003461E2" w:rsidRDefault="00DC2BB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 унифицированной интерпретации испытания выброса системы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порошкового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борту судна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соответствующий проект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КБМ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101 сессии КБМ на одобрение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Унифицированная интерпретация условий оснащения спасательными </w:t>
      </w:r>
      <w:r w:rsidR="00DC2BB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буями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для целей посадки/высадки</w:t>
      </w:r>
    </w:p>
    <w:p w:rsidR="003461E2" w:rsidRPr="003461E2" w:rsidRDefault="003461E2" w:rsidP="003461E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предложила проект унифицированной интерпретации «Условия оснащения спасательными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буями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целей посадки/высадки» в контексте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III/22.1.1 (спасательные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буи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пассажирских судов), III/32.1.1 (спасательные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буи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грузовых судов) и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правилом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II-1/3-9 </w:t>
      </w:r>
      <w:r w:rsidR="00DC2BB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(Средства посадки и высадки на берег), направленный на разъяснение того, что спасательный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буй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оснащенный маяком и спасательным леером согласно MSC.1/Circ.1331 в соответствии с </w:t>
      </w:r>
      <w:r w:rsidR="00DC2BB2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правилом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II-1/3-9 </w:t>
      </w:r>
      <w:r w:rsidR="00DC2BB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DC2BB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должен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учитывать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 рассмотрении минимального количества и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местоположения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спасательных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буев в соответствии 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требованиям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III/22.1.1 или III/32.1.1</w:t>
      </w:r>
      <w:r w:rsidR="00732A2D" w:rsidRP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32A2D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в зависимости от применимости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732A2D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оснащени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ю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спасательными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буями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соответствующий проект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101 сессии КБМ для одобрения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пересмот</w:t>
      </w:r>
      <w:r w:rsidR="00732A2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ренной версии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унифицированной интерпретации МАКО SC242 в отношении </w:t>
      </w:r>
      <w:r w:rsidR="00732A2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правил</w:t>
      </w: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II-1/28, II-1/29 и II-1/30</w:t>
      </w:r>
      <w:r w:rsidR="00732A2D" w:rsidRPr="00732A2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732A2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конвенции </w:t>
      </w:r>
      <w:r w:rsidR="00732A2D"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СОЛАС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предоставила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пересмотренную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версию UI SC242,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которой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предлага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ется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унифицированных интерпретаций соответствующих элементов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II-1/28, II-1/29 и II-1/30.</w:t>
      </w:r>
    </w:p>
    <w:p w:rsidR="003461E2" w:rsidRPr="003461E2" w:rsidRDefault="00732A2D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Конвенция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надлежащим образом рассматривает компоновку механизма управления, оснащенного традиционной пропульсивной системой и системой управления рулевого типа. 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Однако, МАКО считает, что в Конвенции 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недостаточно предусматриваются современные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комбинированные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пропульсионные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системы/системы управления, такие как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винторулевые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колонки, погружные двигатели, водометы, </w:t>
      </w:r>
      <w:proofErr w:type="spellStart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крыльчатые</w:t>
      </w:r>
      <w:proofErr w:type="spellEnd"/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движители и т.п.</w:t>
      </w:r>
    </w:p>
    <w:p w:rsidR="003461E2" w:rsidRPr="003461E2" w:rsidRDefault="003461E2" w:rsidP="003461E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МАКО разработала Унифицированную интерпретацию (UI) SC242</w:t>
      </w:r>
      <w:r w:rsidR="00732A2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отношении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возможностей управления, обеспечиваемых этими системами. Копия UI SC242 была предоставлена в приложении к документу DE 55/3, и MSC90 впоследствии утвердил MSC.1/Circ.1416 по Унифицированной интерпретации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отношении правил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II-1/28 и II-1/29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конвенции СОЛАС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(MSC90/28, п. 9.2). 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Опыт применения UI SC242 и реакция отрасли показали необходимость дальнейших разъяснений, в частности, в отношении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внедрения правил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II-1/29.1 и II-1/29.6.1. Следовательно, МАКО предоставила на SSE4 измененную версию UI SC242.</w:t>
      </w:r>
    </w:p>
    <w:p w:rsidR="003461E2" w:rsidRPr="003461E2" w:rsidRDefault="00A952E1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согласившись с содержанием проекта пересмотренной версии UI SC242, а также с тем, что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пересмотренная версия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MSC.1/Circ.1416 должн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быть выпущен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как новый циркуляр, 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правил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II-1/28, II-1/29 и II-1/30</w:t>
      </w:r>
      <w:r w:rsidRP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СОЛАС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соответствующего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101 сессию КБМ на одобрение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Согласовав последнюю редакцию UI МАКО, которая считается приемлемой в качестве временного средства,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="00A952E1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SSE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разработала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новый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комплексный подход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, охватывающим все типы необходимых современных систем управления.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унифицированной интерпретации положения СОЛАС III/20.11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МАКО представила проект унифицированной интерпретации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правила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III/20.11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СОЛАС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(UI SC144), направленный на разъяснение того, что осмотры,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ревизии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эксплуатационные испытания, выполняемые как минимум каждые пять лет, должны производиться в присутствии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инспектора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целях обеспечения удовлетворительного технического обслуживания и испытаний соответствующего оборудования.</w:t>
      </w:r>
    </w:p>
    <w:p w:rsidR="003461E2" w:rsidRPr="003461E2" w:rsidRDefault="00A952E1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 унифицированной интерпретации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отношении правила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III/20.11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СОЛАС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соответствующий проект циркуляра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101 сессию КБМ для одобрения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3461E2" w:rsidRPr="003461E2" w:rsidRDefault="003461E2" w:rsidP="003461E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Прочая деятельность</w:t>
      </w:r>
    </w:p>
    <w:p w:rsidR="003461E2" w:rsidRPr="003461E2" w:rsidRDefault="003461E2" w:rsidP="003461E2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1E2" w:rsidRPr="003461E2" w:rsidRDefault="00A952E1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Разночтения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между главой VI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одекса LSA и положениями по испытаниям резолюции MSC.81(70)</w:t>
      </w:r>
    </w:p>
    <w:p w:rsidR="003461E2" w:rsidRPr="003461E2" w:rsidRDefault="003461E2" w:rsidP="003461E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целях устранения разночтений в отношении испытаний лебедок и тормозов лебедок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98 сессия КБМ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принял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поправки к </w:t>
      </w:r>
      <w:r w:rsidR="00A952E1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одексу LSA в резолюциях MSC.425(98) и MSC.427(98) и резолюцию MSC.81(70) по Пересмотренным рекомендациям для испытаний спасательных средств.</w:t>
      </w:r>
    </w:p>
    <w:p w:rsidR="003461E2" w:rsidRPr="003461E2" w:rsidRDefault="00A952E1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Имеется упущение в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поправках к главе VI кодекса LSA и требования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испытаниям </w:t>
      </w:r>
      <w:r w:rsidR="0002299C">
        <w:rPr>
          <w:rFonts w:ascii="Times New Roman" w:eastAsia="Times New Roman" w:hAnsi="Times New Roman" w:cs="Times New Roman"/>
          <w:sz w:val="24"/>
          <w:szCs w:val="24"/>
          <w:lang w:bidi="ru-RU"/>
        </w:rPr>
        <w:t>в резолюции MSC.81(70), принятых на 98 сессии КБМ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3461E2" w:rsidRPr="003461E2" w:rsidRDefault="0002299C" w:rsidP="00346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6 сессия 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SSE согласовал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61E2" w:rsidRPr="003461E2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 поправок к резолюции MSC.81(70) для рассмотрения</w:t>
      </w:r>
      <w:r w:rsidR="00D56D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101 сессии КБМ в качестве незначительного изменения.</w:t>
      </w:r>
    </w:p>
    <w:p w:rsidR="00376774" w:rsidRDefault="00376774"/>
    <w:sectPr w:rsidR="0037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43703"/>
    <w:multiLevelType w:val="hybridMultilevel"/>
    <w:tmpl w:val="4512296C"/>
    <w:lvl w:ilvl="0" w:tplc="33082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39D1"/>
    <w:multiLevelType w:val="hybridMultilevel"/>
    <w:tmpl w:val="89C60960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E2"/>
    <w:rsid w:val="0002299C"/>
    <w:rsid w:val="0005403B"/>
    <w:rsid w:val="00084467"/>
    <w:rsid w:val="00152056"/>
    <w:rsid w:val="00160148"/>
    <w:rsid w:val="001B7D0D"/>
    <w:rsid w:val="001C16EE"/>
    <w:rsid w:val="002A514A"/>
    <w:rsid w:val="00322011"/>
    <w:rsid w:val="003461E2"/>
    <w:rsid w:val="00350CC2"/>
    <w:rsid w:val="00376774"/>
    <w:rsid w:val="003A33ED"/>
    <w:rsid w:val="003C7B04"/>
    <w:rsid w:val="00423778"/>
    <w:rsid w:val="00467BFD"/>
    <w:rsid w:val="004B72D9"/>
    <w:rsid w:val="00554DF5"/>
    <w:rsid w:val="00616F65"/>
    <w:rsid w:val="00654778"/>
    <w:rsid w:val="00685542"/>
    <w:rsid w:val="00686995"/>
    <w:rsid w:val="00732A2D"/>
    <w:rsid w:val="007D3A18"/>
    <w:rsid w:val="009420D8"/>
    <w:rsid w:val="00952B78"/>
    <w:rsid w:val="009C3A0C"/>
    <w:rsid w:val="00A45FE3"/>
    <w:rsid w:val="00A61278"/>
    <w:rsid w:val="00A742D8"/>
    <w:rsid w:val="00A952E1"/>
    <w:rsid w:val="00AB6012"/>
    <w:rsid w:val="00B42950"/>
    <w:rsid w:val="00B46DEC"/>
    <w:rsid w:val="00C20522"/>
    <w:rsid w:val="00C53A21"/>
    <w:rsid w:val="00CC108A"/>
    <w:rsid w:val="00D41C07"/>
    <w:rsid w:val="00D5217B"/>
    <w:rsid w:val="00D56DFA"/>
    <w:rsid w:val="00DC2BB2"/>
    <w:rsid w:val="00DC6474"/>
    <w:rsid w:val="00E05622"/>
    <w:rsid w:val="00E25F4F"/>
    <w:rsid w:val="00E55306"/>
    <w:rsid w:val="00EB623B"/>
    <w:rsid w:val="00ED6BB5"/>
    <w:rsid w:val="00F36391"/>
    <w:rsid w:val="00F513DC"/>
    <w:rsid w:val="00F64D1D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7A9F-04A6-4E3C-8992-5AC4216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5189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Синецкая Марина Юрьевна</dc:creator>
  <cp:keywords/>
  <dc:description/>
  <cp:lastModifiedBy>Ковзова Марианна Федоровна</cp:lastModifiedBy>
  <cp:revision>2</cp:revision>
  <dcterms:created xsi:type="dcterms:W3CDTF">2025-03-04T13:51:00Z</dcterms:created>
  <dcterms:modified xsi:type="dcterms:W3CDTF">2025-03-04T13:51:00Z</dcterms:modified>
</cp:coreProperties>
</file>