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36"/>
        <w:gridCol w:w="993"/>
        <w:gridCol w:w="1417"/>
        <w:gridCol w:w="210"/>
        <w:gridCol w:w="220"/>
        <w:gridCol w:w="633"/>
        <w:gridCol w:w="1800"/>
        <w:gridCol w:w="965"/>
        <w:gridCol w:w="957"/>
        <w:gridCol w:w="1027"/>
        <w:gridCol w:w="1994"/>
      </w:tblGrid>
      <w:tr w:rsidR="006D0C6A" w:rsidRPr="009163F5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right w:val="nil"/>
            </w:tcBorders>
          </w:tcPr>
          <w:p w:rsidR="006D0C6A" w:rsidRPr="006D7536" w:rsidRDefault="006D0C6A" w:rsidP="007E5C7F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</w:tr>
      <w:tr w:rsidR="004D3EF2" w:rsidRPr="00F5553C" w:rsidTr="006D0C6A">
        <w:trPr>
          <w:cantSplit/>
          <w:trHeight w:val="404"/>
        </w:trPr>
        <w:tc>
          <w:tcPr>
            <w:tcW w:w="10783" w:type="dxa"/>
            <w:gridSpan w:val="12"/>
            <w:tcBorders>
              <w:top w:val="nil"/>
              <w:left w:val="nil"/>
              <w:bottom w:val="nil"/>
            </w:tcBorders>
          </w:tcPr>
          <w:p w:rsidR="004D3EF2" w:rsidRPr="006C2935" w:rsidRDefault="004D3EF2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4D3EF2" w:rsidRPr="006C2935" w:rsidTr="006D0C6A">
        <w:trPr>
          <w:cantSplit/>
          <w:trHeight w:val="40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4D3EF2" w:rsidRPr="006C2935" w:rsidRDefault="004D3EF2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4D3EF2" w:rsidRPr="006C2935" w:rsidRDefault="004D3EF2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3EF2" w:rsidRPr="006C2935" w:rsidRDefault="004D3EF2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D3EF2" w:rsidRPr="006C2935" w:rsidRDefault="004D3EF2" w:rsidP="0099129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D3EF2" w:rsidRPr="006C2935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3EF2" w:rsidRPr="006C2935" w:rsidRDefault="004D3EF2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3FC3" w:rsidRPr="006D7536" w:rsidRDefault="00213FC3" w:rsidP="001D077A">
            <w:pPr>
              <w:pStyle w:val="cee1fbf7edfbe9"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sz w:val="20"/>
                <w:szCs w:val="20"/>
              </w:rPr>
              <w:t xml:space="preserve">и/или перед началом очередного и промежуточного освидетельствования судов ОРП </w:t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3FC3" w:rsidRPr="006D7536" w:rsidRDefault="00213FC3" w:rsidP="001D077A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cs="Arial"/>
                <w:szCs w:val="20"/>
                <w:lang w:val="en-US"/>
              </w:rPr>
              <w:t>and/or</w:t>
            </w:r>
            <w:r w:rsidRPr="006D7536">
              <w:rPr>
                <w:rFonts w:cs="Arial"/>
                <w:szCs w:val="20"/>
                <w:lang w:val="en-US"/>
              </w:rPr>
              <w:t xml:space="preserve"> prior to commencement of renewal and intermediate survey of ESP ships </w:t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right w:val="nil"/>
            </w:tcBorders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13FC3" w:rsidRPr="006D7536" w:rsidRDefault="00213FC3" w:rsidP="00C71555">
            <w:pPr>
              <w:pStyle w:val="cee1fbf7edfbe9"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(Z7+Z10.3)</w:t>
            </w:r>
          </w:p>
          <w:p w:rsidR="00213FC3" w:rsidRPr="006D7536" w:rsidRDefault="00213FC3" w:rsidP="00C71555">
            <w:pPr>
              <w:pStyle w:val="cee1fbf7edfbe9"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sz w:val="20"/>
                <w:szCs w:val="20"/>
              </w:rPr>
              <w:t>(</w:t>
            </w:r>
            <w:r w:rsidR="001D077A" w:rsidRPr="006D7536">
              <w:rPr>
                <w:rFonts w:ascii="Arial" w:hAnsi="Arial" w:cs="Arial"/>
                <w:sz w:val="20"/>
                <w:szCs w:val="20"/>
              </w:rPr>
              <w:t xml:space="preserve">однокорпусные химовозы, </w:t>
            </w:r>
            <w:r w:rsidRPr="006D7536">
              <w:rPr>
                <w:rFonts w:ascii="Arial" w:hAnsi="Arial" w:cs="Arial"/>
                <w:sz w:val="20"/>
                <w:szCs w:val="20"/>
              </w:rPr>
              <w:t>очередное или промежуточное освидетельствование судов возрастом старше 10 лет)</w:t>
            </w:r>
          </w:p>
          <w:p w:rsidR="00213FC3" w:rsidRPr="006D7536" w:rsidRDefault="00213FC3" w:rsidP="00C71555">
            <w:pPr>
              <w:pStyle w:val="cee1fbf7edfbe9"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(Z7+Z10.3)</w:t>
            </w:r>
          </w:p>
          <w:p w:rsidR="00213FC3" w:rsidRPr="006D7536" w:rsidRDefault="00213FC3" w:rsidP="00C71555">
            <w:pPr>
              <w:pStyle w:val="cee1fbf7edfbe9"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D077A" w:rsidRPr="006D7536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Single Hull Chemical Tankers, </w:t>
            </w:r>
            <w:r w:rsidRPr="006D7536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special or intermediate survey of ships over 10 years of age)</w:t>
            </w:r>
          </w:p>
        </w:tc>
      </w:tr>
      <w:tr w:rsidR="009163F5" w:rsidRPr="00F5553C" w:rsidTr="009163F5">
        <w:trPr>
          <w:cantSplit/>
          <w:trHeight w:val="20"/>
        </w:trPr>
        <w:tc>
          <w:tcPr>
            <w:tcW w:w="10783" w:type="dxa"/>
            <w:gridSpan w:val="1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63F5" w:rsidRPr="006D0C6A" w:rsidRDefault="009163F5" w:rsidP="0099129A">
            <w:pPr>
              <w:pStyle w:val="cee1fbf7edfbe9"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63F5" w:rsidRPr="00F5553C" w:rsidTr="009163F5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63F5" w:rsidRPr="001C6ABF" w:rsidRDefault="009163F5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5848DC" w:rsidRPr="00627CC6" w:rsidTr="009163F5">
        <w:trPr>
          <w:cantSplit/>
          <w:trHeight w:val="20"/>
        </w:trPr>
        <w:tc>
          <w:tcPr>
            <w:tcW w:w="3407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848DC" w:rsidRPr="00187B91" w:rsidRDefault="005848DC" w:rsidP="005848DC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5848DC" w:rsidRPr="007A24A9" w:rsidRDefault="005848DC" w:rsidP="005848DC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5848DC" w:rsidRPr="00627CC6" w:rsidTr="009163F5">
        <w:trPr>
          <w:cantSplit/>
          <w:trHeight w:val="20"/>
        </w:trPr>
        <w:tc>
          <w:tcPr>
            <w:tcW w:w="3407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48DC" w:rsidRPr="00187B91" w:rsidRDefault="005848DC" w:rsidP="005848DC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48DC" w:rsidRPr="007A24A9" w:rsidRDefault="005848DC" w:rsidP="005848DC">
            <w:pPr>
              <w:rPr>
                <w:rFonts w:cs="Arial"/>
                <w:b/>
                <w:szCs w:val="20"/>
              </w:rPr>
            </w:pPr>
          </w:p>
        </w:tc>
      </w:tr>
      <w:tr w:rsidR="005848DC" w:rsidRPr="00627CC6" w:rsidTr="009163F5">
        <w:trPr>
          <w:cantSplit/>
          <w:trHeight w:val="20"/>
        </w:trPr>
        <w:tc>
          <w:tcPr>
            <w:tcW w:w="3407" w:type="dxa"/>
            <w:gridSpan w:val="6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8DC" w:rsidRPr="00187B91" w:rsidRDefault="005848DC" w:rsidP="005848DC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848DC" w:rsidRPr="00DF2C88" w:rsidRDefault="005848DC" w:rsidP="005848DC">
            <w:pPr>
              <w:rPr>
                <w:rFonts w:cs="Arial"/>
                <w:b/>
                <w:szCs w:val="20"/>
              </w:rPr>
            </w:pPr>
          </w:p>
        </w:tc>
      </w:tr>
      <w:tr w:rsidR="009163F5" w:rsidRPr="00627CC6" w:rsidTr="009163F5">
        <w:trPr>
          <w:cantSplit/>
          <w:trHeight w:val="20"/>
        </w:trPr>
        <w:tc>
          <w:tcPr>
            <w:tcW w:w="34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F5" w:rsidRPr="00187B91" w:rsidRDefault="009163F5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163F5" w:rsidRPr="00DF2C88" w:rsidRDefault="009163F5" w:rsidP="0099129A">
            <w:pPr>
              <w:rPr>
                <w:rFonts w:cs="Arial"/>
                <w:b/>
                <w:szCs w:val="20"/>
              </w:rPr>
            </w:pPr>
          </w:p>
        </w:tc>
      </w:tr>
      <w:tr w:rsidR="009163F5" w:rsidRPr="006C2935" w:rsidTr="009163F5">
        <w:trPr>
          <w:cantSplit/>
          <w:trHeight w:val="20"/>
        </w:trPr>
        <w:tc>
          <w:tcPr>
            <w:tcW w:w="1078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9163F5" w:rsidRPr="006C2935" w:rsidRDefault="009163F5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of TM commencement 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5409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Факт 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Дата 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35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судна ≤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</w:t>
            </w:r>
          </w:p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3436ED" w:rsidP="00373FA3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  <w:r w:rsidR="00373FA3"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3436ED" w:rsidP="006D7536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  <w:r w:rsidR="006D7536"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35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Все шпангоутные рамы и примыкающие конструктивные элементы в бортовом балластном танке (балластный танк двойного корпуса – танк, включающий в себя танк двойного корпуса, танк двойного борта и подпалубный танк, если конструктивно предусмотрено на судне, даже если эти танки раздельные).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web frame rings and adjacent structural members - in a ballast wing tank (ballast double hull tank: means double bottom tank plus double side tank plus double deck tank, as applicable, even if these tanks are separate).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танка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Все шпангоутные рамы и примыкающие конструктивные элементы в балластном танке двойного дна (балластный танк двойного корпуса – танк, включающий в себя танк двойного корпуса, танк двойного борта и подпалубный танк, если конструктивно предусмотрено на судне, даже если эти танки раздельные).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web frame rings and adjacent structural members - in a double bottom ballast tank (ballast double hull tank: means double bottom tank plus double side tank plus double deck tank, as applicable, even if these tanks are separate).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танка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Одна поперечная палубная рамная связь, включая примыкающие конструктивные элементы, в каждом оставшемся балластном танке или на палубе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deck transverse including adjacent deck structural members in each remaining ballast tank or on deck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Одна поперечная палубная рамная связь, включая примыкающие конструктивные элементы, в грузовом бортовом танке или на палубе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deck transverse including adjacent deck structural members in a cargo wing tank or on deck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Одна поперечная палубная рамная связь, включая примыкающие конструктивные элементы, в двух грузовых центральных танках или на палубе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deck transverse including adjacent deck structural members in two cargo centre tanks or on deck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Обе поперечные переборки, включая систему рамных подкреплений и примыкающие конструктивные элементы, в бортовом балластном танке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Both transverse bulkhead including girder system and adjacent structural members in a ballast wing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Обе поперечные переборки, включая систему рамных подкреплений и примыкающие конструктивные элементы, в междудонном балластном танке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Both transverse bulkhead including girder system and adjacent structural members in a double bottom ballast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Нижняя часть одной поперечной переборки, включая систему рамных подкреплений и примыкающие конструктивные элементы, в каждом оставшемся балластном танке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bulkhead lower part including girder system and adjacent structural members in each remaining ballast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Нижняя часть одной поперечной переборки, включая систему рамных подкреплений и примыкающие конструктивные элементы, в грузовом бортовом танке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bulkhead lower part including girder system and adjacent structural members in a cargo wing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 танка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F5553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0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Нижняя часть одной поперечной переборки, включая систему рамных подкреплений и примыкающие конструктивные элементы, в двух грузовых центральных танках или двух других бортовых танках, если центральные танки конструктивно отсутствуют.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bulkhead lower part including girder system and adjacent structural members in two cargo centre tanks or two another wing tanks if cargo centre tanks are structurally absent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Одно поперечное сечение в пределах 0,5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 в районе балластного танка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transverse section within 0.5 L amidships in way of a ballast tank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6D7536" w:rsidP="006D7536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5.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6D7536" w:rsidP="006D7536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6.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35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Все полностью шпангоутные рамы, включая все примыкающие конструктивные элементы, во всех балластных танках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Complete all web frames wing including adjacent structural members in all ballast tanks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1.2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полностью шпангоутные рамы, включая все примыкающие конструктивные элементы в бортовом грузовом танке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complete web frame rings including adjacent structural members in a cargo wing tank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танка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шпангоутная рама, включая примыкающие конструктивные элементы, в каждом оставшемся грузовом танке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Complete transverse web frame ring including adjacent structural members in each remaining cargo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рамных подкреплений и примыкающие конструктивные элементы, во всех грузовых танках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 including girder system and adjacent structural members in all cargo tanks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рамных подкреплений и примыкающие конструктивные элементы, во всех балластных танках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 including girder system and adjacent structural members in all ballast tanks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Два поперечных сечения в пределах 0,5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судна, одно из которых в районе балластного танка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Two transverse sections within 0.5 L amidships, at least one section in way of a ballast tank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Все листы пояса переменных ватерлиний в пределах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Halon fire</w:t>
            </w:r>
            <w:r w:rsidR="00B56A80"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-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fighting system cylinders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>-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154" w:rsidRPr="006D7536" w:rsidRDefault="000C1154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Комингсы вентиляционных и воздушных труб</w:t>
            </w:r>
          </w:p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Ventilator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coamings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and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air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coamings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154" w:rsidRPr="006D7536" w:rsidRDefault="000C1154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Корпус</w:t>
            </w:r>
            <w:r w:rsidR="00A07443" w:rsidRPr="009163F5">
              <w:rPr>
                <w:rStyle w:val="cef1edeee2edeee9f8f0e8f4f2e0e1e7e0f6e0"/>
                <w:rFonts w:cs="Arial"/>
                <w:szCs w:val="20"/>
              </w:rPr>
              <w:t>а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фильтров забортной воды</w:t>
            </w:r>
          </w:p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Sea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water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filter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casings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154" w:rsidRPr="006D7536" w:rsidRDefault="000C1154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Обшивка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надстроек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и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рубок</w:t>
            </w:r>
          </w:p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Superstructure and deckhouses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1154" w:rsidRPr="006D7536" w:rsidRDefault="000C1154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352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CE537A" w:rsidRPr="006D7536" w:rsidRDefault="00CE537A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753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6D753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Все полностью шпангоутные рамы, включая все примыкающие конструктивные элементы, во всех балластных танках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Complete all web frames wing including adjacent structural members</w:t>
            </w:r>
            <w:r w:rsidR="00DF5786"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in all ballast tanks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танков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1.2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полностью шпангоутные рамы, включая все примыкающие конструктивные элементы в бортовом грузовом танке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complete web frame rings including adjacent structural members in a cargo wing tank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танка 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шпангоутная рама, включая примыкающие конструктивные элементы, в каждом оставшемся грузовом танке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Complete transverse web frame ring including adjacent structural members in each remaining cargo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рамных подкреплений и примыкающие конструктивные элементы, во всех грузовых танках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 including girder system and adjacent structural members in all cargo tanks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F5553C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5848DC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D753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1154" w:rsidRPr="009163F5" w:rsidRDefault="000C1154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поперечные переборки, включая систему рамных подкреплений и примыкающие конструктивные элементы, во всех балластных танках </w:t>
            </w:r>
          </w:p>
          <w:p w:rsidR="00213FC3" w:rsidRPr="009163F5" w:rsidRDefault="000C1154" w:rsidP="004D3EF2">
            <w:pPr>
              <w:pStyle w:val="cee1fbf7edfbe9"/>
              <w:widowControl/>
              <w:tabs>
                <w:tab w:val="left" w:pos="2350"/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 including girder system and adjacent structural members in all ballast tanks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танков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листы открытых участков настила верхней палубы по всей длине судна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exposed upper deck plating outside the cargo length area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Три поперечных сечения в пределах 0,5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судна, одно из которых в районе балластного танка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Three transverse sections within 0.5 L amidships, at least one section in way of a ballast tank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Каждый лист обшивки днища, включая нижнюю часть скулового пояса, в пределах грузовой зоны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Each bottom plate including lower turn of bilge within the cargo length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Наружная обшивка днища в районе машинного отделения, коффердамов, кормовой части танков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Bottom plates in way of machinery space, cofferdams, aft end of tanks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Обшивка горизонтального киля по всей длине судна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All keel plates full length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Все листы пояса переменных ватерлиний по всей длине судна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wind and water strakes, full length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бака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forecastle deck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юта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poop deck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Типовые листы открытых участков настилов палуб других надстроек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other superstructures deck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Настил второго дна в грузовой зоне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Double bottom plating in way of cargo area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213FC3" w:rsidRPr="009163F5" w:rsidRDefault="00342D17" w:rsidP="004D3EF2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machinery and auxiliary machinery and boiler seatings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Halon fire-fighting system cylinders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13FC3" w:rsidRPr="006D7536" w:rsidRDefault="00213FC3" w:rsidP="00C71555">
            <w:pPr>
              <w:pStyle w:val="cee1fbf7edfbe9"/>
              <w:widowControl/>
              <w:tabs>
                <w:tab w:val="left" w:pos="6804"/>
              </w:tabs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>-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BE3A29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D17" w:rsidRPr="006D7536" w:rsidRDefault="00342D17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Комингсы вентиляционных и воздушных труб</w:t>
            </w:r>
          </w:p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Ventilator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coamings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and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air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pipe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coamings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4D3EF2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4D3EF2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4D3EF2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4D3EF2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D17" w:rsidRPr="004D3EF2" w:rsidRDefault="00342D17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Корпус</w:t>
            </w:r>
            <w:r w:rsidR="00A07443" w:rsidRPr="009163F5">
              <w:rPr>
                <w:rStyle w:val="cef1edeee2edeee9f8f0e8f4f2e0e1e7e0f6e0"/>
                <w:rFonts w:cs="Arial"/>
                <w:szCs w:val="20"/>
              </w:rPr>
              <w:t>а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фильтров забортной воды</w:t>
            </w:r>
          </w:p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4D3EF2">
              <w:rPr>
                <w:rStyle w:val="cef1edeee2edeee9f8f0e8f4f2e0e1e7e0f6e0"/>
                <w:rFonts w:cs="Arial"/>
                <w:szCs w:val="20"/>
              </w:rPr>
              <w:t>Sea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water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filter</w:t>
            </w:r>
            <w:r w:rsidRPr="009163F5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</w:rPr>
              <w:t>casings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D17" w:rsidRPr="006D7536" w:rsidRDefault="00342D17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Обшивка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надстроек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и</w:t>
            </w: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 </w:t>
            </w: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рубок</w:t>
            </w:r>
          </w:p>
          <w:p w:rsidR="00342D17" w:rsidRPr="009163F5" w:rsidRDefault="00342D17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163F5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Plating of superstructures and deckhouses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D17" w:rsidRPr="006D7536" w:rsidRDefault="00342D17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Suspect areas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7536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4D3EF2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6804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9163F5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4D3EF2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6D7536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536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F5553C">
              <w:rPr>
                <w:rFonts w:cs="Arial"/>
                <w:b/>
                <w:sz w:val="16"/>
                <w:szCs w:val="20"/>
              </w:rPr>
            </w:r>
            <w:r w:rsidR="00F5553C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6D7536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D7536" w:rsidRPr="006D0C6A" w:rsidTr="006D0C6A">
        <w:trPr>
          <w:cantSplit/>
          <w:trHeight w:val="2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13FC3" w:rsidRPr="009163F5" w:rsidRDefault="00213FC3" w:rsidP="004D3EF2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3FC3" w:rsidRPr="006D7536" w:rsidRDefault="00213FC3" w:rsidP="00C71555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213FC3" w:rsidRPr="006D7536" w:rsidRDefault="00213FC3" w:rsidP="00C71555">
      <w:pPr>
        <w:pStyle w:val="cee1fbf7edfbe9"/>
        <w:tabs>
          <w:tab w:val="left" w:pos="6804"/>
        </w:tabs>
        <w:rPr>
          <w:rFonts w:ascii="Arial" w:hAnsi="Arial" w:cs="Arial"/>
          <w:sz w:val="20"/>
          <w:szCs w:val="20"/>
          <w:lang w:val="en-US"/>
        </w:rPr>
      </w:pPr>
    </w:p>
    <w:sectPr w:rsidR="00213FC3" w:rsidRPr="006D7536" w:rsidSect="0091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C1" w:rsidRDefault="00A609C1">
      <w:r>
        <w:separator/>
      </w:r>
    </w:p>
  </w:endnote>
  <w:endnote w:type="continuationSeparator" w:id="0">
    <w:p w:rsidR="00A609C1" w:rsidRDefault="00A6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F5" w:rsidRDefault="00916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F5" w:rsidRDefault="009163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F5" w:rsidRDefault="00916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C1" w:rsidRDefault="00A609C1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A609C1" w:rsidRDefault="00A6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F5" w:rsidRDefault="009163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6D7536" w:rsidRPr="006D7536" w:rsidTr="005703DC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373FA3" w:rsidRPr="006D7536" w:rsidRDefault="00373FA3" w:rsidP="005703DC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73FA3" w:rsidRPr="006D7536" w:rsidRDefault="00373FA3" w:rsidP="009E428D">
          <w:pPr>
            <w:jc w:val="right"/>
            <w:rPr>
              <w:rFonts w:cs="Arial"/>
            </w:rPr>
          </w:pPr>
          <w:r w:rsidRPr="006D7536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D7536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1Z7-10.3i</w:t>
          </w:r>
          <w:r w:rsidRPr="006D7536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4D3EF2"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/202</w:t>
          </w:r>
          <w:r w:rsidR="004D3EF2"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6D7536" w:rsidRPr="006D7536" w:rsidTr="005703DC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373FA3" w:rsidRPr="006D7536" w:rsidRDefault="00373FA3" w:rsidP="005703D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373FA3" w:rsidRPr="006D7536" w:rsidRDefault="00373FA3" w:rsidP="005703DC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6D7536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373FA3" w:rsidRPr="006D7536" w:rsidRDefault="00373FA3" w:rsidP="005703DC">
          <w:pPr>
            <w:pStyle w:val="d1eee4e5f0e6e8eceee5f2e0e1ebe8f6fb"/>
            <w:jc w:val="right"/>
            <w:rPr>
              <w:rFonts w:cs="Arial"/>
            </w:rPr>
          </w:pP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BE3A29">
            <w:rPr>
              <w:rStyle w:val="cef1edeee2edeee9f8f0e8f4f2e0e1e7e0f6e0"/>
              <w:rFonts w:cs="Arial"/>
              <w:noProof/>
              <w:sz w:val="16"/>
              <w:szCs w:val="16"/>
            </w:rPr>
            <w:t>7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BE3A29">
            <w:rPr>
              <w:rStyle w:val="cef1edeee2edeee9f8f0e8f4f2e0e1e7e0f6e0"/>
              <w:rFonts w:cs="Arial"/>
              <w:noProof/>
              <w:sz w:val="16"/>
              <w:szCs w:val="16"/>
            </w:rPr>
            <w:t>7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6D7536" w:rsidRPr="006D7536" w:rsidTr="005703DC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373FA3" w:rsidRPr="006D7536" w:rsidRDefault="00373FA3" w:rsidP="005703D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373FA3" w:rsidRPr="006D7536" w:rsidRDefault="00373FA3" w:rsidP="005703D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6D7536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373FA3" w:rsidRPr="006D7536" w:rsidRDefault="00373FA3" w:rsidP="005703DC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373FA3" w:rsidRPr="006D7536" w:rsidTr="00E30B49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373FA3" w:rsidRPr="006D7536" w:rsidRDefault="00373FA3" w:rsidP="005703DC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373FA3" w:rsidRPr="006D7536" w:rsidRDefault="00373FA3" w:rsidP="00D62E48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373FA3" w:rsidRPr="006D7536" w:rsidRDefault="00373FA3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9163F5" w:rsidRPr="006D7536" w:rsidTr="0099129A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9163F5" w:rsidRPr="006D7536" w:rsidRDefault="009163F5" w:rsidP="009163F5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74200AA2" wp14:editId="0C44D786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163F5" w:rsidRPr="006D7536" w:rsidRDefault="009163F5" w:rsidP="009163F5">
          <w:pPr>
            <w:jc w:val="right"/>
            <w:rPr>
              <w:rFonts w:cs="Arial"/>
            </w:rPr>
          </w:pPr>
          <w:r w:rsidRPr="006D7536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D7536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1Z7-10.3i</w:t>
          </w:r>
          <w:r w:rsidRPr="006D7536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/202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6D7536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9163F5" w:rsidRPr="006D7536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9163F5" w:rsidRPr="006D7536" w:rsidRDefault="009163F5" w:rsidP="009163F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9163F5" w:rsidRPr="006D7536" w:rsidRDefault="009163F5" w:rsidP="009163F5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6D7536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9163F5" w:rsidRPr="006D7536" w:rsidRDefault="009163F5" w:rsidP="009163F5">
          <w:pPr>
            <w:pStyle w:val="d1eee4e5f0e6e8eceee5f2e0e1ebe8f6fb"/>
            <w:jc w:val="right"/>
            <w:rPr>
              <w:rFonts w:cs="Arial"/>
            </w:rPr>
          </w:pP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8</w:t>
          </w:r>
          <w:r w:rsidRPr="006D7536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9163F5" w:rsidRPr="006D7536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9163F5" w:rsidRPr="006D7536" w:rsidRDefault="009163F5" w:rsidP="009163F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9163F5" w:rsidRPr="006D7536" w:rsidRDefault="009163F5" w:rsidP="009163F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6D7536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9163F5" w:rsidRPr="006D7536" w:rsidRDefault="009163F5" w:rsidP="009163F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9163F5" w:rsidRPr="006D7536" w:rsidTr="0099129A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9163F5" w:rsidRPr="006D7536" w:rsidRDefault="009163F5" w:rsidP="009163F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9163F5" w:rsidRPr="006D7536" w:rsidRDefault="009163F5" w:rsidP="009163F5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9163F5" w:rsidRPr="006D7536" w:rsidRDefault="00F5553C" w:rsidP="009163F5">
    <w:pPr>
      <w:rPr>
        <w:sz w:val="4"/>
        <w:szCs w:val="4"/>
      </w:rPr>
    </w:pPr>
    <w:r>
      <w:rPr>
        <w:rFonts w:cs="Arial"/>
        <w:b/>
        <w:noProof/>
        <w:sz w:val="18"/>
        <w:szCs w:val="18"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6147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  <w:p w:rsidR="009163F5" w:rsidRPr="009163F5" w:rsidRDefault="009163F5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75524298"/>
    <w:lvl w:ilvl="0">
      <w:start w:val="1"/>
      <w:numFmt w:val="decimal"/>
      <w:lvlText w:val="%1."/>
      <w:lvlJc w:val="left"/>
      <w:pPr>
        <w:ind w:left="36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63"/>
    <w:rsid w:val="00034DEE"/>
    <w:rsid w:val="000C1154"/>
    <w:rsid w:val="00173A88"/>
    <w:rsid w:val="001D077A"/>
    <w:rsid w:val="00213FC3"/>
    <w:rsid w:val="002E3DB4"/>
    <w:rsid w:val="00342D17"/>
    <w:rsid w:val="003436ED"/>
    <w:rsid w:val="00373FA3"/>
    <w:rsid w:val="004D3EF2"/>
    <w:rsid w:val="005703DC"/>
    <w:rsid w:val="005848DC"/>
    <w:rsid w:val="006D0C6A"/>
    <w:rsid w:val="006D7536"/>
    <w:rsid w:val="00723895"/>
    <w:rsid w:val="008433F1"/>
    <w:rsid w:val="00851038"/>
    <w:rsid w:val="009163F5"/>
    <w:rsid w:val="00981863"/>
    <w:rsid w:val="009C44E9"/>
    <w:rsid w:val="009E428D"/>
    <w:rsid w:val="00A07443"/>
    <w:rsid w:val="00A31FC8"/>
    <w:rsid w:val="00A609C1"/>
    <w:rsid w:val="00A92271"/>
    <w:rsid w:val="00B56A80"/>
    <w:rsid w:val="00B6105D"/>
    <w:rsid w:val="00BE3A29"/>
    <w:rsid w:val="00C71555"/>
    <w:rsid w:val="00CE537A"/>
    <w:rsid w:val="00D62E48"/>
    <w:rsid w:val="00DF5786"/>
    <w:rsid w:val="00E30B49"/>
    <w:rsid w:val="00E32AB5"/>
    <w:rsid w:val="00E954F7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efaultImageDpi w14:val="0"/>
  <w15:docId w15:val="{668D5C2B-1AAB-4BD8-A604-2DE9257B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FC3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213F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13FC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213F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13FC3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28</cp:revision>
  <dcterms:created xsi:type="dcterms:W3CDTF">2021-05-18T04:40:00Z</dcterms:created>
  <dcterms:modified xsi:type="dcterms:W3CDTF">2025-01-16T05:54:00Z</dcterms:modified>
</cp:coreProperties>
</file>