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78" w:rsidRPr="004A753D" w:rsidRDefault="0079392E" w:rsidP="001B2418">
      <w:pPr>
        <w:pStyle w:val="a3"/>
        <w:suppressAutoHyphens/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53D">
        <w:rPr>
          <w:rFonts w:ascii="Times New Roman" w:hAnsi="Times New Roman"/>
          <w:b/>
          <w:sz w:val="26"/>
        </w:rPr>
        <w:t>71-я сессия КЗМС</w:t>
      </w:r>
    </w:p>
    <w:p w:rsidR="0079392E" w:rsidRPr="004A753D" w:rsidRDefault="0079392E" w:rsidP="001B2418">
      <w:pPr>
        <w:pStyle w:val="a3"/>
        <w:suppressAutoHyphens/>
        <w:spacing w:before="240"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3-7 июля 2017 года в штаб-квартире Междунаро</w:t>
      </w:r>
      <w:r w:rsidR="00B22DD9" w:rsidRPr="004A753D">
        <w:rPr>
          <w:rFonts w:ascii="Times New Roman" w:hAnsi="Times New Roman"/>
          <w:sz w:val="26"/>
        </w:rPr>
        <w:t xml:space="preserve">дной морской организации (ИМО) </w:t>
      </w:r>
      <w:r w:rsidRPr="004A753D">
        <w:rPr>
          <w:rFonts w:ascii="Times New Roman" w:hAnsi="Times New Roman"/>
          <w:sz w:val="26"/>
        </w:rPr>
        <w:t>состоялась 71-я сессия Комитета по защите морской среды (КЗМС) под председательством А. Домингеса.</w:t>
      </w:r>
    </w:p>
    <w:p w:rsidR="0079392E" w:rsidRPr="004A753D" w:rsidRDefault="00BC4E78" w:rsidP="001B2418">
      <w:pPr>
        <w:pStyle w:val="a3"/>
        <w:suppressAutoHyphens/>
        <w:spacing w:before="240"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По вопросам касательно управления балластными водами на данной сессии был одобрен проект поправок к Правилу B-3 Конвенции по управлению балластными водами, который устанавливает соответствующий срок внедрения стандарта D-2 после вступления в силу положений Конвенции. Совместно с этим, на сессии была также одобрена резолюция, направленная на обеспечение планомерного и постоянного применения утвержденных поправок.</w:t>
      </w:r>
    </w:p>
    <w:p w:rsidR="0079392E" w:rsidRPr="004A753D" w:rsidRDefault="0079392E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753D">
        <w:rPr>
          <w:rFonts w:ascii="Times New Roman" w:hAnsi="Times New Roman"/>
          <w:b/>
          <w:i/>
          <w:sz w:val="26"/>
        </w:rPr>
        <w:t>На своей 71-й сессии КЗМС:</w:t>
      </w:r>
    </w:p>
    <w:p w:rsidR="0079392E" w:rsidRPr="004A753D" w:rsidRDefault="00BC4E78" w:rsidP="001B2418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одобрил поправки к Правилу 13 Приложения VI к Конвенции МАРПОЛ в части назначения районов контроля выбросов окислов азота по уровню Tier III в Балтийском и Северном морях; </w:t>
      </w:r>
    </w:p>
    <w:p w:rsidR="0079392E" w:rsidRPr="004A753D" w:rsidRDefault="00BC4E78" w:rsidP="001B2418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принял Руководство по дополнительным аспектам в отношении Технического кодекса по контролю за выбросами окислов азота от 2008 года в части конкретных требований, касающихся судовых дизельных двигателей, оборудованных системами селективного каталитического восстановления (СКВ);</w:t>
      </w:r>
    </w:p>
    <w:p w:rsidR="00BC4E78" w:rsidRPr="004A753D" w:rsidRDefault="00BC4E78" w:rsidP="001B2418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отметил проект структуры первоначальной стратегии ИМО, предусмотренной Дорожной картой по разработке Комплексной стратегии ИМО по снижению выбросов парниковых газов с судов, предусматривающий принятие первоначальной стратегии ИМО на 72-й сессии КЗМС (в апреле 2018 года);</w:t>
      </w:r>
    </w:p>
    <w:p w:rsidR="0079392E" w:rsidRPr="004A753D" w:rsidRDefault="00BC4E78" w:rsidP="001B2418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отметил необходимость последующего одобрения Циркуляра MSC-MEPC.4/Circ.4 касательно Руководства для уполномоченных инспекторов государственного портового контроля по применению положений МКУБ; </w:t>
      </w:r>
    </w:p>
    <w:p w:rsidR="0079392E" w:rsidRPr="004A753D" w:rsidRDefault="00BC4E78" w:rsidP="001B2418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отметил необходимость после</w:t>
      </w:r>
      <w:r w:rsidR="003E57A6" w:rsidRPr="004A753D">
        <w:rPr>
          <w:rFonts w:ascii="Times New Roman" w:hAnsi="Times New Roman"/>
          <w:sz w:val="26"/>
        </w:rPr>
        <w:t>дующего одобрения Циркуляра MSC</w:t>
      </w:r>
      <w:r w:rsidR="003E57A6" w:rsidRPr="004A753D">
        <w:rPr>
          <w:rFonts w:ascii="Times New Roman" w:hAnsi="Times New Roman"/>
          <w:sz w:val="26"/>
        </w:rPr>
        <w:noBreakHyphen/>
      </w:r>
      <w:r w:rsidRPr="004A753D">
        <w:rPr>
          <w:rFonts w:ascii="Times New Roman" w:hAnsi="Times New Roman"/>
          <w:sz w:val="26"/>
        </w:rPr>
        <w:t xml:space="preserve">MEPC.5/Circ.11 касательно Поправок к Руководству по освидетельствованиям в рамках Гармонизированной системы освидетельствования и оформления свидетельств от 2015 года для судов, эксплуатирующихся в полярных водах; </w:t>
      </w:r>
    </w:p>
    <w:p w:rsidR="0079392E" w:rsidRPr="004A753D" w:rsidRDefault="00BC4E78" w:rsidP="001B2418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отметил необходимость после</w:t>
      </w:r>
      <w:r w:rsidR="003E57A6" w:rsidRPr="004A753D">
        <w:rPr>
          <w:rFonts w:ascii="Times New Roman" w:hAnsi="Times New Roman"/>
          <w:sz w:val="26"/>
        </w:rPr>
        <w:t>дующего одобрения Циркуляра MSC</w:t>
      </w:r>
      <w:r w:rsidR="003E57A6" w:rsidRPr="004A753D">
        <w:rPr>
          <w:rFonts w:ascii="Times New Roman" w:hAnsi="Times New Roman"/>
          <w:sz w:val="26"/>
        </w:rPr>
        <w:noBreakHyphen/>
      </w:r>
      <w:r w:rsidRPr="004A753D">
        <w:rPr>
          <w:rFonts w:ascii="Times New Roman" w:hAnsi="Times New Roman"/>
          <w:sz w:val="26"/>
        </w:rPr>
        <w:t xml:space="preserve">MEPC.5/Circ.12 касательно Унифицированной интерпретации по дате истечения срока действия конвенционных свидетельств;  </w:t>
      </w:r>
    </w:p>
    <w:p w:rsidR="0079392E" w:rsidRPr="004A753D" w:rsidRDefault="00BC4E78" w:rsidP="001B2418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отметил необходимость последующего одобрения проекта единого циркуляра FAL.2-MEPC.1-MSC.1-LEG.1, касающегося Перечня сертификатов и документов, которые должны быть в наличии на борту судов, при условии его последующего одобрения на 41-й сессии Комитета по упрощению формальностей и 104-й сессии Юридического комитета (ЮРКОМ); </w:t>
      </w:r>
    </w:p>
    <w:p w:rsidR="00BC4E78" w:rsidRPr="004A753D" w:rsidRDefault="00BC4E78" w:rsidP="001B2418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отметил необходимость последующего одобрения Циркуляра MSC-MEPC.1/Circ.5 по Организации и методам работы Комитета по безопасности на море и Комитета по защите морской среды, а также их вспомогательных органов;</w:t>
      </w:r>
    </w:p>
    <w:p w:rsidR="0079392E" w:rsidRPr="004A753D" w:rsidRDefault="00BC4E78" w:rsidP="001B2418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утвердил проект резолюции Ассамблеи по применению и вступлению в силу положений Протокола от 2010 года Международной конвенции об ответственности и компенсации за ущерб в связи с перевозкой морем опасных и вредных веществ (HNS) для предоставления на 30-й сессии Ассамблеи в целях его последующего принятия; </w:t>
      </w:r>
    </w:p>
    <w:p w:rsidR="0079392E" w:rsidRPr="004A753D" w:rsidRDefault="00B22DD9" w:rsidP="001B2418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утвердил проект резолюции Ассамблеи по делегированию полномочий выдачи свидетельств о страховании или прочих документов о финансовом обеспечении, </w:t>
      </w:r>
      <w:r w:rsidRPr="004A753D">
        <w:rPr>
          <w:rFonts w:ascii="Times New Roman" w:hAnsi="Times New Roman"/>
          <w:sz w:val="26"/>
        </w:rPr>
        <w:lastRenderedPageBreak/>
        <w:t xml:space="preserve">требуемых в соответствии с положениями Международной конвенции о гражданской ответственности за ущерб от загрязнения нефтью (CLC) от 1992 года и Международной конвенции об ответственности и компенсации за ущерб в связи с перевозкой морем опасных и вредных веществ (HNS) от 2010 года для предоставления </w:t>
      </w:r>
      <w:r w:rsidR="00BC4E78" w:rsidRPr="004A753D">
        <w:rPr>
          <w:rFonts w:ascii="Times New Roman" w:hAnsi="Times New Roman"/>
          <w:sz w:val="26"/>
        </w:rPr>
        <w:t xml:space="preserve">на 30-й сессии Ассамблеи в целях его последующего принятия; </w:t>
      </w:r>
    </w:p>
    <w:p w:rsidR="0079392E" w:rsidRPr="004A753D" w:rsidRDefault="00BC4E78" w:rsidP="001B2418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утвердил Циркуляр </w:t>
      </w:r>
      <w:r w:rsidR="008E3ACB" w:rsidRPr="004A753D">
        <w:rPr>
          <w:rFonts w:ascii="Times New Roman" w:hAnsi="Times New Roman"/>
          <w:sz w:val="26"/>
          <w:lang w:val="en-US"/>
        </w:rPr>
        <w:t>F</w:t>
      </w:r>
      <w:r w:rsidRPr="004A753D">
        <w:rPr>
          <w:rFonts w:ascii="Times New Roman" w:hAnsi="Times New Roman"/>
          <w:sz w:val="26"/>
        </w:rPr>
        <w:t>AL.2-MEPC.1-MSC.1-LEG.1, касающийся Перечня сертификатов и документов, которые должны быть в наличии на борту судов.</w:t>
      </w:r>
    </w:p>
    <w:p w:rsidR="0079392E" w:rsidRPr="004A753D" w:rsidRDefault="009900CA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753D">
        <w:rPr>
          <w:rFonts w:ascii="Times New Roman" w:hAnsi="Times New Roman"/>
          <w:b/>
          <w:i/>
          <w:sz w:val="26"/>
        </w:rPr>
        <w:t>Поправки к Конвенции МАРПОЛ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На 71-й сессии КЗМС одобрил поправки к Правилу 13 Приложения VI к Конвенции МАРПОЛ касательно назначения районов контроля выбросов окислов азота по уровню Tier III</w:t>
      </w:r>
      <w:r w:rsidR="008E3ACB" w:rsidRPr="004A753D">
        <w:rPr>
          <w:rFonts w:ascii="Times New Roman" w:hAnsi="Times New Roman"/>
          <w:sz w:val="26"/>
        </w:rPr>
        <w:t xml:space="preserve"> </w:t>
      </w:r>
      <w:r w:rsidRPr="004A753D">
        <w:rPr>
          <w:rFonts w:ascii="Times New Roman" w:hAnsi="Times New Roman"/>
          <w:sz w:val="26"/>
        </w:rPr>
        <w:t>в Балтийском и Северном морях, и к Дополнению</w:t>
      </w:r>
      <w:r w:rsidR="008E3ACB" w:rsidRPr="004A753D">
        <w:rPr>
          <w:rFonts w:ascii="Times New Roman" w:hAnsi="Times New Roman"/>
          <w:sz w:val="26"/>
        </w:rPr>
        <w:t xml:space="preserve"> </w:t>
      </w:r>
      <w:r w:rsidR="009856E5" w:rsidRPr="004A753D">
        <w:rPr>
          <w:rFonts w:ascii="Times New Roman" w:hAnsi="Times New Roman"/>
          <w:sz w:val="26"/>
          <w:lang w:val="en-US"/>
        </w:rPr>
        <w:t>V</w:t>
      </w:r>
      <w:r w:rsidRPr="004A753D">
        <w:rPr>
          <w:rFonts w:ascii="Times New Roman" w:hAnsi="Times New Roman"/>
          <w:sz w:val="26"/>
        </w:rPr>
        <w:t xml:space="preserve"> Приложения VI к Конвенции МАРПОЛ касательно информации, подлежащей внесению в накладную на поставку бункерного топлива (Резолюция MEPC.286(71)).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Уровень выбросов окислов азота судовых дизельных двигателей, установленных на судах, построенных начиная с 1 января 2021 года включительно, и эксплуатирующихся в районах Северного и Балтийского морей, должен соответствовать уровню Tier III. Постройка, модернизация, ремонт и (или) техническое обслуживание судов, оснащенных судовыми дизельными двигателями, уровень выбросов которых соответствует уровню Tier II, может выполняться на судоверфях, расположенных в районах контроля выбросов окислов азота по уровню Tier III.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В поправках к информации, подлежащей внесению в накладную на поставку бункерного топлива, рассматриваются случаи поставки топлива, не отвечающего требованиям по низкому содержанию серы, на то или иное судно, использующее эквивалентные средства (в частности, скрубберы) в целях снижения уровня выбросов окислов серы для обеспечения соответствия требованиям положений Конвенции МАРПОЛ. </w:t>
      </w:r>
    </w:p>
    <w:p w:rsidR="0079392E" w:rsidRPr="004A753D" w:rsidRDefault="0079392E" w:rsidP="001B2418">
      <w:pPr>
        <w:pStyle w:val="a3"/>
        <w:suppressAutoHyphens/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Данные поправки должны считаться принятыми 1 июля 2018 года и вступить в силу 1 января 2019 года. </w:t>
      </w:r>
    </w:p>
    <w:p w:rsidR="0079392E" w:rsidRPr="004A753D" w:rsidRDefault="000D1702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753D">
        <w:rPr>
          <w:rFonts w:ascii="Times New Roman" w:hAnsi="Times New Roman"/>
          <w:b/>
          <w:i/>
          <w:sz w:val="26"/>
        </w:rPr>
        <w:t xml:space="preserve">Поправки к Правилу B-3 Конвенции по управлению балластными водами </w:t>
      </w:r>
    </w:p>
    <w:p w:rsidR="0079392E" w:rsidRPr="004A753D" w:rsidRDefault="0079392E" w:rsidP="001B2418">
      <w:pPr>
        <w:pStyle w:val="a3"/>
        <w:suppressAutoHyphens/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На 71-й сессии КЗМС был достигнут компромисс по вопросу касательно сроков установки систем очистки балластных вод в соответствии с нормами сброса балластных вод, указанными в Правиле D-2 Конвенции по управлению балластными водами. КЗМС одобрил проект поправок к Правилу B-3 Конвенции по управлению балластными водами, который устраняет неопределенность, связанную с соответствующим применением Правил D-1 (регламент замены балластных вод) и D-2 (установка систем очистки балластных вод) на существующих судах, а также устанавливает соответствующий срок обеспечения соответствия требованиям стандарта D-2 после вступления в силу положений Конвенции.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Данные поправки уточняют сроки обеспечения соответствия требованиям стандарта D-2, в частности:</w:t>
      </w:r>
    </w:p>
    <w:p w:rsidR="0079392E" w:rsidRPr="004A753D" w:rsidRDefault="0079392E" w:rsidP="004A753D">
      <w:pPr>
        <w:pStyle w:val="a3"/>
        <w:numPr>
          <w:ilvl w:val="0"/>
          <w:numId w:val="3"/>
        </w:num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Дата обеспечения соответствия стандарту, указанному в Правиле D-2 (в части систем управления балластными водами) для новых судов (Правило B-3.5):</w:t>
      </w:r>
    </w:p>
    <w:p w:rsidR="0079392E" w:rsidRPr="004A753D" w:rsidRDefault="000D1702" w:rsidP="0075050C">
      <w:pPr>
        <w:pStyle w:val="a3"/>
        <w:suppressAutoHyphens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53D">
        <w:rPr>
          <w:rFonts w:ascii="Times New Roman" w:hAnsi="Times New Roman"/>
          <w:i/>
          <w:sz w:val="26"/>
        </w:rPr>
        <w:t xml:space="preserve">в отношении новых судов (построенных начиная с 8 сентября 2017 года включительно) Комитетом согласовано, что датой вступления в силу Конвенции по управлению балластными водами будет считаться дата осуществления управления </w:t>
      </w:r>
      <w:r w:rsidRPr="004A753D">
        <w:rPr>
          <w:rFonts w:ascii="Times New Roman" w:hAnsi="Times New Roman"/>
          <w:i/>
          <w:sz w:val="26"/>
        </w:rPr>
        <w:lastRenderedPageBreak/>
        <w:t>балластными водами как минимум в соответствии со стандартом, указанным в Правиле D-2;</w:t>
      </w:r>
    </w:p>
    <w:p w:rsidR="0079392E" w:rsidRPr="004A753D" w:rsidRDefault="0079392E" w:rsidP="001B2418">
      <w:pPr>
        <w:pStyle w:val="a3"/>
        <w:numPr>
          <w:ilvl w:val="0"/>
          <w:numId w:val="3"/>
        </w:num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дата поэтапного обеспечения соответствия стандарту, указанному в Правиле D-2 (в части систем управления балластными водами) н</w:t>
      </w:r>
      <w:r w:rsidR="00A44800" w:rsidRPr="004A753D">
        <w:rPr>
          <w:rFonts w:ascii="Times New Roman" w:hAnsi="Times New Roman"/>
          <w:sz w:val="26"/>
        </w:rPr>
        <w:t>а существующих судах (Правила B</w:t>
      </w:r>
      <w:r w:rsidR="00A44800" w:rsidRPr="004A753D">
        <w:rPr>
          <w:rFonts w:ascii="Times New Roman" w:hAnsi="Times New Roman"/>
          <w:sz w:val="26"/>
        </w:rPr>
        <w:noBreakHyphen/>
      </w:r>
      <w:r w:rsidRPr="004A753D">
        <w:rPr>
          <w:rFonts w:ascii="Times New Roman" w:hAnsi="Times New Roman"/>
          <w:sz w:val="26"/>
        </w:rPr>
        <w:t>3.1, 2, 3, 4 и 10):</w:t>
      </w:r>
    </w:p>
    <w:p w:rsidR="0079392E" w:rsidRPr="004A753D" w:rsidRDefault="000D1702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53D">
        <w:rPr>
          <w:rFonts w:ascii="Times New Roman" w:hAnsi="Times New Roman"/>
          <w:i/>
          <w:sz w:val="26"/>
        </w:rPr>
        <w:t>в отношении существующих судов (построенных до 8 сентября 2017 года) датой начала поэтапного осуществления управления балластными водами, будет являться дата освидетельствования для возобновления класса с выдачей Международного свидетельства о предотвращении загрязнения нефтью (IOPP), проведенного не ранее 8 сентября 2017 года:</w:t>
      </w:r>
    </w:p>
    <w:p w:rsidR="00950D6C" w:rsidRPr="004A753D" w:rsidRDefault="0079392E" w:rsidP="00156C4C">
      <w:pPr>
        <w:pStyle w:val="a3"/>
        <w:numPr>
          <w:ilvl w:val="1"/>
          <w:numId w:val="6"/>
        </w:numPr>
        <w:suppressAutoHyphens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53D">
        <w:rPr>
          <w:rFonts w:ascii="Times New Roman" w:hAnsi="Times New Roman"/>
          <w:i/>
          <w:sz w:val="26"/>
        </w:rPr>
        <w:t>Случай с первым освидетельствованием для возобновления класса:</w:t>
      </w:r>
    </w:p>
    <w:p w:rsidR="0079392E" w:rsidRPr="004A753D" w:rsidRDefault="000D1702" w:rsidP="00156C4C">
      <w:pPr>
        <w:pStyle w:val="a3"/>
        <w:numPr>
          <w:ilvl w:val="0"/>
          <w:numId w:val="7"/>
        </w:numPr>
        <w:suppressAutoHyphens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53D">
        <w:rPr>
          <w:rFonts w:ascii="Times New Roman" w:hAnsi="Times New Roman"/>
          <w:i/>
          <w:sz w:val="26"/>
        </w:rPr>
        <w:t>освидетельствование завершено не ранее 8 сентября 2019 года; либо</w:t>
      </w:r>
    </w:p>
    <w:p w:rsidR="0079392E" w:rsidRPr="004A753D" w:rsidRDefault="000D1702" w:rsidP="00156C4C">
      <w:pPr>
        <w:pStyle w:val="a3"/>
        <w:numPr>
          <w:ilvl w:val="0"/>
          <w:numId w:val="7"/>
        </w:numPr>
        <w:suppressAutoHyphens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53D">
        <w:rPr>
          <w:rFonts w:ascii="Times New Roman" w:hAnsi="Times New Roman"/>
          <w:i/>
          <w:sz w:val="26"/>
        </w:rPr>
        <w:t>освидетельствование для возобновления класса (отвязанное от выдачи Международного свидетельства о предотвращении загрязнения нефтью (IOPP) или нет) завершено после 8 сентября 2014 года, но до 8 сентября 2017 года;</w:t>
      </w:r>
    </w:p>
    <w:p w:rsidR="00950D6C" w:rsidRPr="004A753D" w:rsidRDefault="0079392E" w:rsidP="00156C4C">
      <w:pPr>
        <w:pStyle w:val="a3"/>
        <w:numPr>
          <w:ilvl w:val="1"/>
          <w:numId w:val="6"/>
        </w:numPr>
        <w:suppressAutoHyphens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53D">
        <w:rPr>
          <w:rFonts w:ascii="Times New Roman" w:hAnsi="Times New Roman"/>
          <w:i/>
          <w:sz w:val="26"/>
        </w:rPr>
        <w:t xml:space="preserve">Случай со вторым освидетельствованием для возобновления класса: </w:t>
      </w:r>
    </w:p>
    <w:p w:rsidR="0079392E" w:rsidRPr="004A753D" w:rsidRDefault="000D1702" w:rsidP="00156C4C">
      <w:pPr>
        <w:pStyle w:val="a3"/>
        <w:numPr>
          <w:ilvl w:val="0"/>
          <w:numId w:val="7"/>
        </w:numPr>
        <w:suppressAutoHyphens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53D">
        <w:rPr>
          <w:rFonts w:ascii="Times New Roman" w:hAnsi="Times New Roman"/>
          <w:i/>
          <w:sz w:val="26"/>
        </w:rPr>
        <w:t>если первое освидетельствование для возобновления класса после вступления в силу Конвенции по управлению балластными водами завершено до 8 сентября 2019 года;</w:t>
      </w:r>
    </w:p>
    <w:p w:rsidR="0079392E" w:rsidRPr="004A753D" w:rsidRDefault="0079392E" w:rsidP="00156C4C">
      <w:pPr>
        <w:pStyle w:val="a3"/>
        <w:numPr>
          <w:ilvl w:val="0"/>
          <w:numId w:val="7"/>
        </w:numPr>
        <w:suppressAutoHyphens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53D">
        <w:rPr>
          <w:rFonts w:ascii="Times New Roman" w:hAnsi="Times New Roman"/>
          <w:i/>
          <w:sz w:val="26"/>
        </w:rPr>
        <w:t>при условии, что освидетельствование для возобновления класса не было завершено в период, начиная с 8 сентября 2014 года включительно и до 8 сентября 2017 года.</w:t>
      </w:r>
    </w:p>
    <w:p w:rsidR="0079392E" w:rsidRPr="004A753D" w:rsidRDefault="0079392E" w:rsidP="00156C4C">
      <w:pPr>
        <w:pStyle w:val="a3"/>
        <w:numPr>
          <w:ilvl w:val="0"/>
          <w:numId w:val="7"/>
        </w:numPr>
        <w:suppressAutoHyphens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53D">
        <w:rPr>
          <w:rFonts w:ascii="Times New Roman" w:hAnsi="Times New Roman"/>
          <w:i/>
          <w:sz w:val="26"/>
        </w:rPr>
        <w:t>обеспечение соответствия стандарту, указанному в Правиле D-2 (в части систем управления балластными водами) на судах, на которые не распространяется требование в отношении Международного свидетельства о предотвращении загрязнения нефтью (IOPP) (Правило B-3.8).</w:t>
      </w:r>
    </w:p>
    <w:p w:rsidR="000D1702" w:rsidRPr="004A753D" w:rsidRDefault="0079392E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Существующие суда, на которые не распространяется требование в отношении Международного свидетельства о предотвращении загрязнения нефтью (IOPP), должны обеспечивать соответствие стандарту, указанному в Правиле D-2, начиная с даты, определяемой Администрацией, но не позднее 8 сентября 2024 года.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До этого срока такие суда должны обеспечивать соответствие положениям Правила D-1.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Подтверждается тот факт, что суда, построенные (заложенные) начиная с 8 сентября 2017 года включительно, должны обеспечивать соответствие стандарту D-2 после сдачи. </w:t>
      </w:r>
    </w:p>
    <w:p w:rsidR="000D1702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В отношении таких поправок ИМО утвердила соответствующую Резолюцию MEPC.287(71), касающуюся определения даты вступления в силу Конвенции по управлению балластными водами, указанной в Правиле B-3 с поправками, на основании даты обеспечения применения стандарта D-2, указанной в Правиле B-3.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Данной Резолюцией подтверждается, что освидетельствование для возобновления класса является освидетельствованием для возобновления класса судна, связанное с выдачей Международного свидетельства о предотвращении загрязнения нефтью (IOPP) (как было ранее согласовано Ассамблеей в Резолюции A.1088(28)).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Кроме того, на 71-й сессии КЗМС принял Резолюцию MEPC.288(71) касательно применения Конвенции по управлению балластными водами в целях обеспечения планомерного и постоянного применения у</w:t>
      </w:r>
      <w:r w:rsidR="00A44800" w:rsidRPr="004A753D">
        <w:rPr>
          <w:rFonts w:ascii="Times New Roman" w:hAnsi="Times New Roman"/>
          <w:sz w:val="26"/>
        </w:rPr>
        <w:t xml:space="preserve">твержденных поправок к Правилу </w:t>
      </w:r>
      <w:r w:rsidRPr="004A753D">
        <w:rPr>
          <w:rFonts w:ascii="Times New Roman" w:hAnsi="Times New Roman"/>
          <w:sz w:val="26"/>
        </w:rPr>
        <w:t xml:space="preserve">B-3.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lastRenderedPageBreak/>
        <w:t xml:space="preserve">Согласно такой Резолюции, Государства-члены должны обеспечить применение вышеуказанных новых поправок к Правилу В-3 Конвенции после ее вступления в силу, т.е. 8 сентября 2017 года. </w:t>
      </w:r>
    </w:p>
    <w:p w:rsidR="0079392E" w:rsidRPr="004A753D" w:rsidRDefault="0079392E" w:rsidP="001B2418">
      <w:pPr>
        <w:pStyle w:val="a3"/>
        <w:suppressAutoHyphens/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Данная Резолюция заменяет собой Резолюцию A.1088(28) </w:t>
      </w:r>
      <w:r w:rsidR="0075050C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Применение Международной Конвенции о контроле судовых балластных вод и осадков от 2004 года</w:t>
      </w:r>
      <w:r w:rsidR="0075050C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>. На 71-й сессии КЗМС призывает Ассамблею И</w:t>
      </w:r>
      <w:r w:rsidR="00A44800" w:rsidRPr="004A753D">
        <w:rPr>
          <w:rFonts w:ascii="Times New Roman" w:hAnsi="Times New Roman"/>
          <w:sz w:val="26"/>
        </w:rPr>
        <w:t>МО (в ходе 30-й сессии в ноябре</w:t>
      </w:r>
      <w:r w:rsidR="00A44800" w:rsidRPr="004A753D">
        <w:rPr>
          <w:rFonts w:ascii="Times New Roman" w:hAnsi="Times New Roman"/>
          <w:sz w:val="26"/>
        </w:rPr>
        <w:noBreakHyphen/>
      </w:r>
      <w:r w:rsidRPr="004A753D">
        <w:rPr>
          <w:rFonts w:ascii="Times New Roman" w:hAnsi="Times New Roman"/>
          <w:sz w:val="26"/>
        </w:rPr>
        <w:t>декабре 2017 года) аннулировать Резолюцию A.1088(28).</w:t>
      </w:r>
    </w:p>
    <w:p w:rsidR="0079392E" w:rsidRPr="004A753D" w:rsidRDefault="0079392E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753D">
        <w:rPr>
          <w:rFonts w:ascii="Times New Roman" w:hAnsi="Times New Roman"/>
          <w:b/>
          <w:i/>
          <w:sz w:val="26"/>
        </w:rPr>
        <w:t xml:space="preserve">Кодекс по одобрению систем управления балластными водами </w:t>
      </w:r>
    </w:p>
    <w:p w:rsidR="009900CA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своей 70-й сессии КЗМС принял Руководство по одобрению систем управления балластными водами (G8) от 2016 года (Резолюция MEPC.279(70)) и согласился с приданием данному Руководству обязательного статуса после вступления в силу Конвенции по управлению балластными водами с последующим его переименованием в Кодекс по одобрению систем управления балластными водами.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70-й сессии КЗМС поручил Секретариату подготовить в целях предоставления на рассмотрение на данной сессии любые последующие поправки к Руководству (G8) и проект поправок к Конвенции по управлению балластными водами для отражения факта придания обязательного статуса.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Таким образом, на своей 71-й сессии КЗМС одобрил:</w:t>
      </w:r>
    </w:p>
    <w:p w:rsidR="0079392E" w:rsidRPr="004A753D" w:rsidRDefault="0079392E" w:rsidP="004A753D">
      <w:pPr>
        <w:pStyle w:val="mark"/>
        <w:numPr>
          <w:ilvl w:val="0"/>
          <w:numId w:val="9"/>
        </w:numPr>
        <w:ind w:left="0" w:firstLine="0"/>
      </w:pPr>
      <w:r w:rsidRPr="004A753D">
        <w:t xml:space="preserve">проект Кодекса по одобрению систем управления балластными водами и проект Резолюции MEPC в целях их принятия на 72-й сессии КЗМС совместно с принятием соответствующих поправок к Конвенции по управлению балластными водами; </w:t>
      </w:r>
    </w:p>
    <w:p w:rsidR="0079392E" w:rsidRPr="004A753D" w:rsidRDefault="0079392E" w:rsidP="004A753D">
      <w:pPr>
        <w:pStyle w:val="mark"/>
        <w:numPr>
          <w:ilvl w:val="0"/>
          <w:numId w:val="9"/>
        </w:numPr>
        <w:ind w:left="0" w:firstLine="0"/>
      </w:pPr>
      <w:r w:rsidRPr="004A753D">
        <w:t>проект поправок к Правилам A-1 и D-3 Конвенции по управлению балластными водами для их рассылки Генеральным секретарем после вступления в силу Конвенции по управлению балластными водами в целях их последующего принятия на 72-й сессии КЗМС.</w:t>
      </w:r>
    </w:p>
    <w:p w:rsidR="0079392E" w:rsidRPr="004A753D" w:rsidRDefault="0079392E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753D">
        <w:rPr>
          <w:rFonts w:ascii="Times New Roman" w:hAnsi="Times New Roman"/>
          <w:b/>
          <w:i/>
          <w:sz w:val="26"/>
        </w:rPr>
        <w:t xml:space="preserve">Чрезвычайные меры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своей 71-й сессии КЗМС одобрил Циркуляр BWM.2/Circ.61 </w:t>
      </w:r>
      <w:r w:rsidR="0075050C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Руководство по принятию чрезвычайных мер в рамках Конвенции по управлению балластными водами</w:t>
      </w:r>
      <w:r w:rsidR="0075050C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>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Отметив тот факт, что на судах не будет обеспечиваться надлежащая работа систем управления балластными водами в районах, в которых параметры морской среды – в частности, мутность, общее содержание взвешенных частиц (TSS) и (или) соленость – превышают рабочие предельные значения, установленные для систем управления балластными водами, на 70-й сессии КЗМС предложил направить документы с проектом руководства по принятию чрезвычайных мер в рамках Конвенции по управлению балластными водами.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Данное Руководство нацелено на выдачу рекомендаций заинтересованным сторонам указанного сектора по принятию чрезвычайных мер с учетом следующих аспектов:</w:t>
      </w:r>
    </w:p>
    <w:p w:rsidR="0079392E" w:rsidRPr="004A753D" w:rsidRDefault="0079392E" w:rsidP="004A753D">
      <w:pPr>
        <w:pStyle w:val="mark"/>
        <w:numPr>
          <w:ilvl w:val="0"/>
          <w:numId w:val="10"/>
        </w:numPr>
      </w:pPr>
      <w:r w:rsidRPr="004A753D">
        <w:t xml:space="preserve">принципов, подлежащих рассмотрению при принятии чрезвычайных мер; </w:t>
      </w:r>
    </w:p>
    <w:p w:rsidR="0079392E" w:rsidRPr="004A753D" w:rsidRDefault="0079392E" w:rsidP="004A753D">
      <w:pPr>
        <w:pStyle w:val="mark"/>
        <w:numPr>
          <w:ilvl w:val="0"/>
          <w:numId w:val="10"/>
        </w:numPr>
      </w:pPr>
      <w:r w:rsidRPr="004A753D">
        <w:t xml:space="preserve">потенциальных сценариев развития чрезвычайных ситуаций; </w:t>
      </w:r>
    </w:p>
    <w:p w:rsidR="0079392E" w:rsidRPr="004A753D" w:rsidRDefault="0079392E" w:rsidP="004A753D">
      <w:pPr>
        <w:pStyle w:val="mark"/>
        <w:numPr>
          <w:ilvl w:val="0"/>
          <w:numId w:val="10"/>
        </w:numPr>
      </w:pPr>
      <w:r w:rsidRPr="004A753D">
        <w:t xml:space="preserve">применение чрезвычайных мер с учетом сроков выявления проблем; </w:t>
      </w:r>
    </w:p>
    <w:p w:rsidR="0079392E" w:rsidRPr="004A753D" w:rsidRDefault="0079392E" w:rsidP="004A753D">
      <w:pPr>
        <w:pStyle w:val="mark"/>
        <w:numPr>
          <w:ilvl w:val="0"/>
          <w:numId w:val="10"/>
        </w:numPr>
      </w:pPr>
      <w:r w:rsidRPr="004A753D">
        <w:t xml:space="preserve">рекомендуемые средства на судне, необходимые для реализации принимаемых чрезвычайных мер; </w:t>
      </w:r>
    </w:p>
    <w:p w:rsidR="0079392E" w:rsidRPr="004A753D" w:rsidRDefault="0079392E" w:rsidP="004A753D">
      <w:pPr>
        <w:pStyle w:val="mark"/>
        <w:numPr>
          <w:ilvl w:val="0"/>
          <w:numId w:val="10"/>
        </w:numPr>
      </w:pPr>
      <w:r w:rsidRPr="004A753D">
        <w:t>план управления балластными водами и принимаемые чрезвычайные меры.</w:t>
      </w:r>
    </w:p>
    <w:p w:rsidR="004A753D" w:rsidRDefault="004A753D">
      <w:pPr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br w:type="page"/>
      </w:r>
    </w:p>
    <w:p w:rsidR="0079392E" w:rsidRPr="004A753D" w:rsidRDefault="0079392E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753D">
        <w:rPr>
          <w:rFonts w:ascii="Times New Roman" w:hAnsi="Times New Roman"/>
          <w:b/>
          <w:i/>
          <w:sz w:val="26"/>
        </w:rPr>
        <w:lastRenderedPageBreak/>
        <w:t xml:space="preserve">Замена балластных вод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своей 71-й сессии КЗМС одобрил Циркуляр BWM.2/Circ.62, касающийся применения Конвенции по управлению балластными водами к судам, эксплуатирующимся в районах, в которых невозможно обеспечить замену балластных вод в соответствии с положениями Правил B-4.1 и D-1.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4-й сессии Подкомитет по предотвращению загрязнения и реагированию (PPR) рассмотрел предложенный текст унифицированной интерпретации по применению Правила B-4 (касательно замены балластных вод) Конвенции по управлению балластными водами, отметив тот факт, что утверждение унифицированных интерпретаций к Конвенции по управлению балластными водами возможно только после вступления Конвенции в силу. Но ввиду насущности данной темы, на своей 71-й сессии КЗМС счел более целесообразным разработку и утверждение Циркуляра по управлению балластными водами, а не унифицированной интерпретации.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То или иное судно до момента необходимости обеспечения соответствия стандарту D-2, эксплуатирующееся в районе, где невозможно обеспечить замену балластных вод в соответствии с положениями Правил B-4.1 и D-1:</w:t>
      </w:r>
    </w:p>
    <w:p w:rsidR="0079392E" w:rsidRPr="004A753D" w:rsidRDefault="0079392E" w:rsidP="004A753D">
      <w:pPr>
        <w:pStyle w:val="mark"/>
        <w:numPr>
          <w:ilvl w:val="0"/>
          <w:numId w:val="11"/>
        </w:numPr>
        <w:ind w:left="0" w:firstLine="0"/>
      </w:pPr>
      <w:r w:rsidRPr="004A753D">
        <w:t xml:space="preserve">не обязательно должно обеспечивать соответствие стандарту D-2; </w:t>
      </w:r>
    </w:p>
    <w:p w:rsidR="0079392E" w:rsidRPr="004A753D" w:rsidRDefault="0079392E" w:rsidP="001B2418">
      <w:pPr>
        <w:pStyle w:val="a3"/>
        <w:numPr>
          <w:ilvl w:val="0"/>
          <w:numId w:val="3"/>
        </w:num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не обязательно должно обеспечивать соответствие стандарту D-2 вне зависимости от того, что данное судно не отвечает требованиям Правила B-3.6 (сбор балластных вод в приемные сооружения), B-3.7 (прочие методы) или A-4 (исключения) Конвенции по управлению балластными водами; </w:t>
      </w:r>
    </w:p>
    <w:p w:rsidR="0079392E" w:rsidRPr="004A753D" w:rsidRDefault="0079392E" w:rsidP="001B2418">
      <w:pPr>
        <w:pStyle w:val="a3"/>
        <w:numPr>
          <w:ilvl w:val="0"/>
          <w:numId w:val="3"/>
        </w:num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не обязательно должно продолжать соответствовать требованиям Правил B-3.6, B-3.7 </w:t>
      </w:r>
      <w:r w:rsidR="004A753D" w:rsidRPr="004A753D">
        <w:rPr>
          <w:rFonts w:ascii="Times New Roman" w:hAnsi="Times New Roman"/>
          <w:sz w:val="26"/>
        </w:rPr>
        <w:t xml:space="preserve">или </w:t>
      </w:r>
      <w:r w:rsidR="004A753D" w:rsidRPr="004A753D">
        <w:rPr>
          <w:rFonts w:ascii="Times New Roman" w:hAnsi="Times New Roman"/>
          <w:sz w:val="26"/>
          <w:lang w:eastAsia="ja-JP"/>
        </w:rPr>
        <w:t xml:space="preserve">А-4 </w:t>
      </w:r>
      <w:r w:rsidRPr="004A753D">
        <w:rPr>
          <w:rFonts w:ascii="Times New Roman" w:hAnsi="Times New Roman"/>
          <w:sz w:val="26"/>
        </w:rPr>
        <w:t>Конвенции по управлению балластными</w:t>
      </w:r>
      <w:r w:rsidR="004A753D" w:rsidRPr="004A753D">
        <w:rPr>
          <w:rFonts w:ascii="Times New Roman" w:hAnsi="Times New Roman"/>
          <w:sz w:val="26"/>
        </w:rPr>
        <w:t xml:space="preserve"> водами</w:t>
      </w:r>
      <w:r w:rsidRPr="004A753D">
        <w:rPr>
          <w:rFonts w:ascii="Times New Roman" w:hAnsi="Times New Roman"/>
          <w:sz w:val="26"/>
        </w:rPr>
        <w:t>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В случаях, если Государством порта выделены специальные районы замены балластных вод в соответствии с Правилом B-4.2, судном должны соблюдаться условия замены балластных вод в таких районах. В случае, если условия замены балластных вод не предусмотрены, судно не должно отклоняться от запланированного маршрута либо задерживаться при совершении рейса в целях выполнения замены балластных вод.</w:t>
      </w:r>
    </w:p>
    <w:p w:rsidR="0079392E" w:rsidRPr="004A753D" w:rsidRDefault="0079392E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753D">
        <w:rPr>
          <w:rFonts w:ascii="Times New Roman" w:hAnsi="Times New Roman"/>
          <w:b/>
          <w:i/>
          <w:sz w:val="26"/>
        </w:rPr>
        <w:t xml:space="preserve">Освидетельствование и оформление свидетельств </w:t>
      </w:r>
    </w:p>
    <w:p w:rsidR="009900CA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Поскольку Конвенция по управлению балластными водами вступает в силу 8 сентября 2017 года, в Руководство по освидетельствованиям в рамках Гармонизированной системы освидетельствования и оформления свидетельств от 201</w:t>
      </w:r>
      <w:r w:rsidR="00714BCF" w:rsidRPr="004A753D">
        <w:rPr>
          <w:rFonts w:ascii="Times New Roman" w:hAnsi="Times New Roman"/>
          <w:sz w:val="26"/>
        </w:rPr>
        <w:t>5 года (Резолюция A.1104(29))</w:t>
      </w:r>
      <w:r w:rsidRPr="004A753D">
        <w:rPr>
          <w:rFonts w:ascii="Times New Roman" w:hAnsi="Times New Roman"/>
          <w:sz w:val="26"/>
        </w:rPr>
        <w:t xml:space="preserve"> следует включить положения Временного руководства по освидетельствованиям, отложенные к внесению еще на 14-й сессии Подкомитета по осуществлению документов государством флага (FSI).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71-й сессии КЗМС поручил Подкомитету по осуществлению документов ИМО (III) на своей 4-й сессии внести положения Руководства по освидетельствованию, представленные в Циркуляре BWM.2/Circ.7, в проект исправленного Руководства по освидетельствованию в рамках Гармонизированной системы освидетельствования и оформления свидетельств от 2015 года для представления на рассмотрение на 30-й сессии Ассамблеи в целях последующего принятия.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На 71-й сессии КЗМС одобрил проект поправо</w:t>
      </w:r>
      <w:r w:rsidR="00714BCF" w:rsidRPr="004A753D">
        <w:rPr>
          <w:rFonts w:ascii="Times New Roman" w:hAnsi="Times New Roman"/>
          <w:sz w:val="26"/>
        </w:rPr>
        <w:t>к к Правилам E-1.1.5, E-5.8 и E</w:t>
      </w:r>
      <w:r w:rsidR="00714BCF" w:rsidRPr="004A753D">
        <w:rPr>
          <w:rFonts w:ascii="Times New Roman" w:hAnsi="Times New Roman"/>
          <w:sz w:val="26"/>
          <w:lang w:val="en-US"/>
        </w:rPr>
        <w:t> </w:t>
      </w:r>
      <w:r w:rsidRPr="004A753D">
        <w:rPr>
          <w:rFonts w:ascii="Times New Roman" w:hAnsi="Times New Roman"/>
          <w:sz w:val="26"/>
        </w:rPr>
        <w:t xml:space="preserve">5.9.1 Конвенции по управлению балластными водами и поручил Секретариату немедленно разослать текст поправок после вступления в силу Конвенции по управлению балластными водами. </w:t>
      </w:r>
    </w:p>
    <w:p w:rsidR="0075050C" w:rsidRDefault="0075050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9900CA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lastRenderedPageBreak/>
        <w:t>Все суда валовой вместимостью 400 брт и выше, на которые распространяются положения Конвенции по управлению балластными водами, подлежат освидетельствованиям с выдачей Международного свидетельства об управлении балластными водами и (или) подтверждением факта проведения таких освидетельствований в соответствующем Свидетельст</w:t>
      </w:r>
      <w:r w:rsidR="007332FA" w:rsidRPr="004A753D">
        <w:rPr>
          <w:rFonts w:ascii="Times New Roman" w:hAnsi="Times New Roman"/>
          <w:sz w:val="26"/>
        </w:rPr>
        <w:t>ве в соответствии с Правилами E</w:t>
      </w:r>
      <w:r w:rsidR="007332FA" w:rsidRPr="004A753D">
        <w:rPr>
          <w:rFonts w:ascii="Times New Roman" w:hAnsi="Times New Roman"/>
          <w:sz w:val="26"/>
        </w:rPr>
        <w:noBreakHyphen/>
      </w:r>
      <w:r w:rsidRPr="004A753D">
        <w:rPr>
          <w:rFonts w:ascii="Times New Roman" w:hAnsi="Times New Roman"/>
          <w:sz w:val="26"/>
        </w:rPr>
        <w:t>1 и E-2 Конвенции по управлению балластными водами.</w:t>
      </w:r>
    </w:p>
    <w:p w:rsidR="009900CA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Учитывая тот факт, что Конвенция по управлению балластными водами не предусматривает периода поэтапной реализации ее положений для судов, построенных до ее вступления в силу, ИМО выпустила Циркуляр BWM.2/Circ.40, позволяющий Договаривающимся Правительствам, являющимися сторонами Конвенции по управлению балластными водами, выдавать Международные свидетельства об управлении балластными водами до вступления в силу Конвенции по управлению балластными водами.</w:t>
      </w:r>
    </w:p>
    <w:p w:rsidR="009900CA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Ряд Администраций Государств флага начали проводить освидетельствования и заблаговременно выдавать соответствующие свидетельства судам исходя из соображений вступления в силу Конвенции по управлению балластными водами в ближайшее время.</w:t>
      </w:r>
    </w:p>
    <w:p w:rsidR="009900CA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Однако обнаружены некоторые несоответствия  между требованиями к проведению освидетельствований и оформлению свидетельств в Разделе E и формой Международного свидетельства об управлении балластными водами, указанной в Приложении I Конвенции по управлению балластными водами.</w:t>
      </w:r>
    </w:p>
    <w:p w:rsidR="009900CA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В соответствии с Правилами E-1.1.5 и E-5.9.1 Конвенции по управлению балластными водами, факт проведения того или иного дополнительного освидетельствования должен быть подтвержден в Свидетельстве; в противном случае, данное Свидетельство перестает быть действительным.</w:t>
      </w:r>
    </w:p>
    <w:p w:rsidR="009900CA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Однако в форме Международного свидетельства об управлении балластными водами, представленного в Приложении I Конвенции по управлению балластными водами, не предусмотрены какие-либо записи, подтверждающие факт проведения дополнительного освидетельствования, помимо ежегодного или промежуточного освидетельствования и освидетельствований для продления срока действия Свидетельства.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71-й сессии КЗМС также согласовал проект унифицированной интерпретации касательно </w:t>
      </w:r>
      <w:r w:rsidR="007332FA" w:rsidRPr="004A753D">
        <w:rPr>
          <w:rFonts w:ascii="Times New Roman" w:hAnsi="Times New Roman"/>
          <w:sz w:val="26"/>
          <w:lang w:eastAsia="ja-JP"/>
        </w:rPr>
        <w:t>«</w:t>
      </w:r>
      <w:r w:rsidRPr="004A753D">
        <w:rPr>
          <w:rFonts w:ascii="Times New Roman" w:hAnsi="Times New Roman"/>
          <w:sz w:val="26"/>
        </w:rPr>
        <w:t>даты установки</w:t>
      </w:r>
      <w:r w:rsidR="007332FA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 xml:space="preserve">, применяемой в отношении </w:t>
      </w:r>
      <w:r w:rsidR="007332FA" w:rsidRPr="004A753D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используемого метода управления балластными водами</w:t>
      </w:r>
      <w:r w:rsidR="007332FA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 xml:space="preserve"> в Приложении к Международному свидетельству об управлении балластными водами, с последующим его утверждением на 72-й сессии КЗМС после вступления в силу Конвенции по управлению балластными водами.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При оформлении Международного свидетельства об управлении балластными водами следует указывать дату окончания ввода в эксплуатацию систем в соответствии с Разделом 8 Руководства (G8) (Резолюция MEPC.174(58) или MEPC.279(70) в соответствующих случаях).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Относительно срока установки системы управления балластными водами в соответствии с Резолюцией MEPC.279(70), касающейся Руководства по одобрению систем управления балластными водами (G8) от 2016 года, в пунктах 4 и 5 данной Резолюции под </w:t>
      </w:r>
      <w:r w:rsidR="007332FA" w:rsidRPr="004A753D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датой установки</w:t>
      </w:r>
      <w:r w:rsidR="007332FA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 xml:space="preserve"> понимается контрактная дата поставки системы управления балластными водами на борт судна, либо, при отсутствии указания таковой, фактическая дата поставки. </w:t>
      </w:r>
    </w:p>
    <w:p w:rsidR="0079392E" w:rsidRPr="004A753D" w:rsidRDefault="009900CA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lastRenderedPageBreak/>
        <w:t xml:space="preserve">Таким образом, касательно установки системы управления балластными водами могут иметь место две даты, т.е. контрактная дата поставки и дата окончания пусконаладки и ввода в эксплуатацию.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71-й сессии КЗМС принял Резолюцию MEPC.289(71) </w:t>
      </w:r>
      <w:r w:rsidR="007332FA" w:rsidRPr="004A753D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Руководство по замене балластных вод (G6) от 2017 года</w:t>
      </w:r>
      <w:r w:rsidR="007332FA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 xml:space="preserve">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70-й сессии КЗМС согласился пересмотреть положения Руководства по замене балластных вод (G6) (Резолюция MEPC.124(53)) путем оформления в виде приложения формы отчета по балластным водами (см. Приложение 1 Руководства по контролю и управлению балластными операциями на судах в целях сведения к минимуму переноса вредных водных организмов и патогенов (Резолюция A.868(20))).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Кроме того, Комитет также одобрил пересмотренный Циркуляр BWM.2/Circ.52/Rev</w:t>
      </w:r>
      <w:r w:rsidR="00510BB8" w:rsidRPr="004A753D">
        <w:rPr>
          <w:rFonts w:ascii="Times New Roman" w:hAnsi="Times New Roman"/>
          <w:sz w:val="26"/>
        </w:rPr>
        <w:t>.1</w:t>
      </w:r>
      <w:r w:rsidRPr="004A753D">
        <w:rPr>
          <w:rFonts w:ascii="Times New Roman" w:hAnsi="Times New Roman"/>
          <w:sz w:val="26"/>
        </w:rPr>
        <w:t xml:space="preserve"> </w:t>
      </w:r>
      <w:r w:rsidR="007332FA" w:rsidRPr="004A753D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Руководство по вводу (повторному вводу) судов в исключительную эксплуатацию в пределах вод, относящихся к юрисдикции одной Стороны</w:t>
      </w:r>
      <w:r w:rsidR="007332FA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 xml:space="preserve">. </w:t>
      </w:r>
    </w:p>
    <w:p w:rsidR="00E378C7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Конвенция по управлению балластными водами предусматривает освобождение от требования в части применения положений Правила B-3 или C-1 к судам, эксплуатирующимся исключительно в одном обозначенном районе в соответствии с Правилом А-4.</w:t>
      </w:r>
    </w:p>
    <w:p w:rsidR="00E378C7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Однако положения Конвенции по управлению балластными водами не распространяются на суда, которые освобождены от выполнения требований в случае совершения ими специальных рейсов для периодической постановки в сухой док, выполнения ремонта или технического обслуживания за границей за пределами такого указанного района.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Данный вопрос надлежащим образом рассмотрен в Циркуляре BWM.2/Circ.52/Rev.1. </w:t>
      </w:r>
    </w:p>
    <w:p w:rsidR="00E378C7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71-й сессии КЗМС принял Резолюцию MEPC.290(71) </w:t>
      </w:r>
      <w:r w:rsidR="007332FA" w:rsidRPr="004A753D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Руководство от 2017 года по оценке рисков согласно Правилу A-4 Конвенции по управлению балластными водами (G7)</w:t>
      </w:r>
      <w:r w:rsidR="007332FA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 xml:space="preserve">, которая заменяет Руководство по оценке рисков согласно Правилу A-4 Конвенции по управлению балластными водами (G7), принятое в соответствии с Резолюцией MEPC.162(56).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Определения и методы оценки рисков предусмотрены в новых редакциях данного Руководства. </w:t>
      </w:r>
    </w:p>
    <w:p w:rsidR="00E378C7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На 70-й сессии КЗМС подтвердил факт соответствия концепции зоны одинакового риска (SRA) положениям Руководства по оценке рисков в соответствии с Правилом A-4 Конвенции по управлению балластными водами (G7).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Тем не менее, Комитет предложил направить предложения по внесению незначительных поправок в Руководство (G7) для более четкого прояснения связи между ними и концепцией зоны одинакового риска (SRA).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71-й сессии КЗМС утвердил окончательный вариант Руководства «Создание системы управления балластными водами».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71-й сессии КЗМС принял Резолюцию  MEPC.291(71) </w:t>
      </w:r>
      <w:r w:rsidR="007332FA" w:rsidRPr="004A753D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Пробный период в отношении введения в действие положений Конвенции по управлению балластными водами</w:t>
      </w:r>
      <w:r w:rsidR="007332FA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 xml:space="preserve">. </w:t>
      </w:r>
    </w:p>
    <w:p w:rsidR="005C777A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70-й сессии КЗМС поддержал предложение о разделении пробного периода на три этапа (сбор данных, анализ данных и пересмотр положений Конвенции), в ходе которых в отношении всех судов будут применяться специальные меры, не предусматривающие штрафных санкций. </w:t>
      </w:r>
    </w:p>
    <w:p w:rsidR="005C777A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lastRenderedPageBreak/>
        <w:t xml:space="preserve">Установление пробного периода (который будет больше испытательного периода) позволит Комитету в целом оценить эффективность применения положений Конвенции, выявить те или иные возникающие проблемы и получить данные для последующего пересмотра положений Конвенции.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Пробный период устанавливается в дополнение к реализации Дорожной карты по применению положений Конвенции по управлению балластными водами (разработанной на 68-й сессии КЗМС) и принятию мер, не предусматривающих штрафных санкций, в отношении судовладельцев, установивших системы управления балластными водами до ратификации Конвенции.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71-й сессии КЗМС также предложил Государствам-членам и заинтересованным сторонам в разумно короткие сроки начать сбор данных в связи с установлением пробного периода в преддверии дальнейшего одобрения плана сбора и анализа данных.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71-й сессии КЗМС СУБВ MICROFADE II и Envirocleanse inTank получили Основное одобрение, а система ECS-HYBRIDTM - Окончательное одобрение.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На 71-й сессии КЗМС повторно утвердил положения Циркуляра BWM.2/Circ.40 касательно выдачи Свидетельств об управлении балластными водами до момента вступления в силу Конвенции по управлению балластными водами и Планов управления балластными водами, одобренных в соответствии с Резолюцией A.868(20) и предложил Государствам-членам, действующим в качестве Государств флага и Государств порта, принять такие положения в целях обеспечения беспристрастного и систематического применения положений Конвенции по управлению балластными водами после вступления ее в силу:</w:t>
      </w:r>
    </w:p>
    <w:p w:rsidR="0079392E" w:rsidRPr="004A753D" w:rsidRDefault="0079392E" w:rsidP="0075050C">
      <w:pPr>
        <w:pStyle w:val="mark"/>
        <w:numPr>
          <w:ilvl w:val="0"/>
          <w:numId w:val="12"/>
        </w:numPr>
        <w:ind w:left="0" w:firstLine="0"/>
      </w:pPr>
      <w:r w:rsidRPr="004A753D">
        <w:t xml:space="preserve">пункт 2 Приложения: </w:t>
      </w:r>
      <w:r w:rsidR="00516050" w:rsidRPr="004A753D">
        <w:t>«</w:t>
      </w:r>
      <w:r w:rsidRPr="004A753D">
        <w:t>для ответственных лиц, вероятно, окажется невозможным обеспечить составление, изучение и одобрение Планов управления балластными водами, а также проведение освидетельствований и сертификации всех судов валовой вместимостью 400 брт и выше в течение 12 месяцев в промежутке между датой выполнения условий вступления Конвенции в силу и фактической датой ее вступления в силу</w:t>
      </w:r>
      <w:r w:rsidR="00516050" w:rsidRPr="004A753D">
        <w:t>»</w:t>
      </w:r>
      <w:r w:rsidRPr="004A753D">
        <w:t xml:space="preserve">; </w:t>
      </w:r>
    </w:p>
    <w:p w:rsidR="0079392E" w:rsidRPr="004A753D" w:rsidRDefault="0079392E" w:rsidP="0075050C">
      <w:pPr>
        <w:pStyle w:val="mark"/>
        <w:numPr>
          <w:ilvl w:val="0"/>
          <w:numId w:val="12"/>
        </w:numPr>
        <w:ind w:left="0" w:firstLine="0"/>
      </w:pPr>
      <w:r w:rsidRPr="004A753D">
        <w:t xml:space="preserve">пункт 3 Приложения: </w:t>
      </w:r>
      <w:r w:rsidR="00516050" w:rsidRPr="004A753D">
        <w:t>«</w:t>
      </w:r>
      <w:r w:rsidRPr="004A753D">
        <w:t>Договаривающиеся правительства, являющиеся сторонами Конвенции по управлению балластными водами, могут обеспечивать выдачу Международных Свидетельств об управлении балластными водами до вступления в силу Конвенции при условии наличия в них указания о том, что срок действия таких Свидетельств отсчитывается с момента вступления Конвенции в силу, при этом в адрес Компании направляется письмо о принятии Плана управления балластными водами, что позволяет судну совершать рейсы в течение 3 (трех) месяцев с наличием неодобренного Плана управления балластными водами на борту</w:t>
      </w:r>
      <w:r w:rsidR="00516050" w:rsidRPr="004A753D">
        <w:t>»</w:t>
      </w:r>
      <w:r w:rsidRPr="004A753D">
        <w:t>.</w:t>
      </w:r>
    </w:p>
    <w:p w:rsidR="0079392E" w:rsidRPr="004A753D" w:rsidRDefault="0079392E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753D">
        <w:rPr>
          <w:rFonts w:ascii="Times New Roman" w:hAnsi="Times New Roman"/>
          <w:b/>
          <w:i/>
          <w:sz w:val="26"/>
        </w:rPr>
        <w:t xml:space="preserve">Предотвращение и борьба с загрязнениями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На 71-й сессии КЗМС поручил Подкомитету по предотвращению загрязнения и реагированию (PPR) на своей 5-й сессии пересмотреть проект Резолюции КЗМС касательно Руководства по сбросу отработанной воды систем рециркуляции выхлопных газов от 2017 года, разработанный на 4-й сессии Подкомитета по предотвращению загрязнения и реагированию (PPR), а также пересмотреть Руководство по системам очистки выхлопных газов</w:t>
      </w:r>
      <w:r w:rsidR="00B22DD9" w:rsidRPr="004A753D">
        <w:rPr>
          <w:rFonts w:ascii="Times New Roman" w:hAnsi="Times New Roman"/>
          <w:sz w:val="26"/>
        </w:rPr>
        <w:t xml:space="preserve"> от 2015 года</w:t>
      </w:r>
      <w:r w:rsidR="004A753D" w:rsidRPr="004A753D">
        <w:rPr>
          <w:rFonts w:ascii="Times New Roman" w:hAnsi="Times New Roman" w:cs="Times New Roman"/>
          <w:sz w:val="26"/>
          <w:szCs w:val="26"/>
        </w:rPr>
        <w:t>.</w:t>
      </w:r>
    </w:p>
    <w:p w:rsidR="00516050" w:rsidRPr="004A753D" w:rsidRDefault="00516050">
      <w:pPr>
        <w:rPr>
          <w:rFonts w:ascii="Times New Roman" w:hAnsi="Times New Roman"/>
          <w:sz w:val="26"/>
        </w:rPr>
      </w:pPr>
      <w:r w:rsidRPr="004A753D">
        <w:rPr>
          <w:rFonts w:ascii="Times New Roman" w:hAnsi="Times New Roman"/>
          <w:sz w:val="26"/>
        </w:rPr>
        <w:br w:type="page"/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lastRenderedPageBreak/>
        <w:t>На 71-й сессии КЗМС принял Резолюцию MEPC 292 (71) касательно Руководства от 2017 года по дополнительным аспектам в отношении Технического кодекса по контролю за выбросами окислов азота от 2008 года в части конкретных требований, касающихся судовых дизельных двигателей, оборудованных системами селективного каталитического восстановления (СКВ).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Представлены различные разъяснения касательно применения Схем А и В, текста содержания технической документации по контролю за выбросами окислов азота, отбора опытных образцов двигателя, а также порядка проведения подтверждающих испытаний на борту судна.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На 71-й сессии КЗМС рассмотрел отчет Редакционной группы по вопросам качества топлива, которая была вновь учреждена на 69-й сессии КЗМС в целях дальнейшей разработки проекта руководства по передовой практике для покупателей или пользователей топлива, а также для Государств-членов или прибрежных Государств.</w:t>
      </w:r>
    </w:p>
    <w:p w:rsidR="00C44B93" w:rsidRPr="004A753D" w:rsidRDefault="0079392E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Было в целом согласовано, что в методах передовой практики для покупателей или пользователей топлива будут отражены лишь аспекты закупки топлива посредством его доставки на борт, а не методы передовой практики по перекачке и хранению топлива на судах.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Методы передовой практики для Государств-членов или прибрежных Государств организованы в соответствии с положениями Правила 18 Приложения VI к Конвенции МАРПОЛ.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71-й сессии КЗМС предложил заинтересованным Государствам-членам и международным организациям далее рассмотреть проект передовой практики для покупателей или пользователей топлива и представить свои комментарии и предложения для 72-й сессии КЗМС в целях окончательного согласования данного проекта на этой сессии.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Отметив тот факт, что работа по разработке проекта передовой практики для Государств-членов или прибрежных Государств должна быть полностью согласована с дальнейшей работой по новой теме касательно </w:t>
      </w:r>
      <w:r w:rsidR="00516050" w:rsidRPr="004A753D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Систематического применения Правила 14.1.3 Приложения VI Конвенции МАРПОЛ</w:t>
      </w:r>
      <w:r w:rsidR="00516050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 xml:space="preserve">, на 71-й сессии КЗМС решил вновь учредить Редакционную группу и поручил ей окончательно согласовать проект руководства по передовой практике для Государств-членов или прибрежных Государств с последующим предоставлением отчета для 73-й сессии КЗМС. </w:t>
      </w:r>
    </w:p>
    <w:p w:rsidR="00C44B93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Требования в отношении испытательных циклов и весовых коэффициентов, указанных в Техническом кодексе по контролю за выбросами окислов азота от 2008 года были окончательно согласованы в Резолюции MEPC.177(58). </w:t>
      </w:r>
    </w:p>
    <w:p w:rsidR="0079392E" w:rsidRPr="004A753D" w:rsidRDefault="00C44B93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В ходе применения положений Технического кодекса по контролю за выбросами окислов азота от 2008 года МАКО признала необходимость дальнейшего уточнения вопроса касательно сертификации двигателей, предназначенных для работы в составе с систем электродвижения, т.е. двигателей, приводящих в движение генератор переменного тока, подающий питание на ходовые двигатели и потребителям.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МАКО считает такое уточнение необходимым в отношении испытаний в соответствии с циклами D2 и E2. Таким образом, МАКО пересмотрела положения Унифицирован</w:t>
      </w:r>
      <w:r w:rsidR="00516050" w:rsidRPr="004A753D">
        <w:rPr>
          <w:rFonts w:ascii="Times New Roman" w:hAnsi="Times New Roman"/>
          <w:sz w:val="26"/>
        </w:rPr>
        <w:t>ной интерпретации (УИ) MPC 51.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71-й сессии КЗМС направил данный документ на рассмотрение на 5-й сессии Подкомитета по предотвращению загрязнения и реагированию (PPR). </w:t>
      </w:r>
    </w:p>
    <w:p w:rsidR="00C44B93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lastRenderedPageBreak/>
        <w:t xml:space="preserve">Положения Правила 18.8.1 Приложения VI к Конвенции МАРПОЛ предусматривают, что накладная на поставку бункерного топлива должна сопровождаться представительной пробой поставленного топлива. </w:t>
      </w:r>
    </w:p>
    <w:p w:rsidR="00C44B93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Положения Правила 18.8.</w:t>
      </w:r>
      <w:r w:rsidR="00B22DD9" w:rsidRPr="004A753D">
        <w:rPr>
          <w:rFonts w:ascii="Times New Roman" w:hAnsi="Times New Roman"/>
          <w:sz w:val="26"/>
        </w:rPr>
        <w:t>2</w:t>
      </w:r>
      <w:r w:rsidRPr="004A753D">
        <w:rPr>
          <w:rFonts w:ascii="Times New Roman" w:hAnsi="Times New Roman"/>
          <w:sz w:val="26"/>
        </w:rPr>
        <w:t xml:space="preserve"> Приложения VI к Конвенции МАРПОЛ предусматривают, что в случае, если Администрацией требуется проведение анализа представительной пробы, данный анализ должен проводиться в соответствии с процедурой контроля, установленной в Дополнении VI Приложения VI к Конвенции МАРПОЛ.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Проверка уровня содержания серы в пробе МАРПОЛ должна проводиться методом, указанным в Дополнении V Приложения VI к Конвенции МАРПОЛ, т.е. по ISO 8754:2003. </w:t>
      </w:r>
    </w:p>
    <w:p w:rsidR="00C44B93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Некоторые Государства порта, в частности страны Европейского Союза (ЕС), Соединенные Штаты Америки и Китай уже начали отбор проб топлива, используемого на судах.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Но на данный момент не существует гармонизированного метода и процедуры контроля. </w:t>
      </w:r>
    </w:p>
    <w:p w:rsidR="00C44B93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При этом будет весьма сложно понимать причины тех или иных расхождений, поскольку они могут быть обусловлены загрязнением топлива, использованием несоответствующего топлива либо неопределенностями, связанными с применением различных методов контроля. </w:t>
      </w:r>
    </w:p>
    <w:p w:rsidR="00C44B93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Таким образом, Администр</w:t>
      </w:r>
      <w:r w:rsidR="00B22DD9" w:rsidRPr="004A753D">
        <w:rPr>
          <w:rFonts w:ascii="Times New Roman" w:hAnsi="Times New Roman"/>
          <w:sz w:val="26"/>
        </w:rPr>
        <w:t>ации судов зачастую заявляют о</w:t>
      </w:r>
      <w:r w:rsidRPr="004A753D">
        <w:rPr>
          <w:rFonts w:ascii="Times New Roman" w:hAnsi="Times New Roman"/>
          <w:sz w:val="26"/>
        </w:rPr>
        <w:t xml:space="preserve"> том, что причиной нарушения положений Правила 14 Приложения VI к Конвенции МАРПОЛ является применение различных методов контроля.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Поэтому анализ проб используемого топлива должен проводиться теми же методами, что и анализ проб МАРПОЛ.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71-й сессии КЗМС направил данный вопрос </w:t>
      </w:r>
      <w:r w:rsidR="00B22DD9" w:rsidRPr="004A753D">
        <w:rPr>
          <w:rFonts w:ascii="Times New Roman" w:hAnsi="Times New Roman"/>
          <w:sz w:val="26"/>
        </w:rPr>
        <w:t>на дальнейшее рассмотрение на 5</w:t>
      </w:r>
      <w:r w:rsidR="00B22DD9" w:rsidRPr="004A753D">
        <w:rPr>
          <w:rFonts w:ascii="Times New Roman" w:hAnsi="Times New Roman"/>
          <w:sz w:val="26"/>
        </w:rPr>
        <w:noBreakHyphen/>
      </w:r>
      <w:r w:rsidRPr="004A753D">
        <w:rPr>
          <w:rFonts w:ascii="Times New Roman" w:hAnsi="Times New Roman"/>
          <w:sz w:val="26"/>
        </w:rPr>
        <w:t xml:space="preserve">й сессии Подкомитета по предотвращению загрязнения и реагированию (PPR). </w:t>
      </w:r>
    </w:p>
    <w:p w:rsidR="0079392E" w:rsidRPr="004A753D" w:rsidRDefault="000569A2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753D">
        <w:rPr>
          <w:rFonts w:ascii="Times New Roman" w:hAnsi="Times New Roman"/>
          <w:b/>
          <w:i/>
          <w:sz w:val="26"/>
        </w:rPr>
        <w:t>Энергоэффективность судов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В соответствии с Правилом 21.6 Приложения VI Конвенции МАРПОЛ, требуется проводить анализ конструктивного коэффициента энергоэффективности (ККЭЭ) для грузовых и пассажирских судов ро-ро.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Согласно Правилу 21.6 Приложения VI Конвенции МАРПОЛ, в начале этапа 1 и в середине этапа 2 КЗМС проводит обзор состояния технологических разработок и, если это окажется необходимым, изменяет периоды времени, параметры базовых линий ККЭЭ для соответствующих типов судов и степени понижения. </w:t>
      </w:r>
    </w:p>
    <w:p w:rsidR="0079392E" w:rsidRPr="004A753D" w:rsidRDefault="0079392E" w:rsidP="006E3DC6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71-й сессии КЗМС одобрил проект поправок к Правилу 21 Приложения VI Конвенции МАРПОЛ касательно требуемого ККЭЭ для грузовых и пассажирских судов ро-ро в целях его последующего принятия на 72-й сессии КЗМС.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На 71-й сессии КЗМС принял решение об учреждении редакционной группы по изучению вопросов, относящихся к конструктивному коэффициенту энергоэффективности (ККЭЭ) после реализации этапа 2, которой поручено следующее:</w:t>
      </w:r>
    </w:p>
    <w:p w:rsidR="0079392E" w:rsidRPr="004A753D" w:rsidRDefault="0079392E" w:rsidP="0075050C">
      <w:pPr>
        <w:pStyle w:val="mark"/>
        <w:numPr>
          <w:ilvl w:val="0"/>
          <w:numId w:val="13"/>
        </w:numPr>
        <w:ind w:left="0" w:firstLine="0"/>
      </w:pPr>
      <w:r w:rsidRPr="004A753D">
        <w:t xml:space="preserve">рассмотреть, сравнить и провести анализ информации и данных, относящихся к данному вопросу; </w:t>
      </w:r>
    </w:p>
    <w:p w:rsidR="0079392E" w:rsidRPr="004A753D" w:rsidRDefault="0079392E" w:rsidP="0075050C">
      <w:pPr>
        <w:pStyle w:val="mark"/>
        <w:numPr>
          <w:ilvl w:val="0"/>
          <w:numId w:val="13"/>
        </w:numPr>
        <w:ind w:left="0" w:firstLine="0"/>
      </w:pPr>
      <w:r w:rsidRPr="004A753D">
        <w:t xml:space="preserve">используя вышеуказанные данные и информацию, рассмотреть состояние технологических разработок в целях повышения энергоэффективности по положениям о ККЭЭ, содержащимся в Главе 4 Приложения VI Конвенции МАРПОЛ, и возможность последующего введения понижающих коэффициентов для ККЭЭ; </w:t>
      </w:r>
    </w:p>
    <w:p w:rsidR="0079392E" w:rsidRPr="004A753D" w:rsidRDefault="0079392E" w:rsidP="0075050C">
      <w:pPr>
        <w:pStyle w:val="mark"/>
        <w:numPr>
          <w:ilvl w:val="0"/>
          <w:numId w:val="13"/>
        </w:numPr>
        <w:ind w:left="0" w:firstLine="0"/>
      </w:pPr>
      <w:r w:rsidRPr="004A753D">
        <w:lastRenderedPageBreak/>
        <w:t xml:space="preserve">представить на 73-й сессии КЗМС рекомендации касательно периода времени и требуемых понижающих коэффициентов для ККЭЭ на этапе 3; </w:t>
      </w:r>
    </w:p>
    <w:p w:rsidR="0079392E" w:rsidRPr="004A753D" w:rsidRDefault="0079392E" w:rsidP="0075050C">
      <w:pPr>
        <w:pStyle w:val="mark"/>
        <w:numPr>
          <w:ilvl w:val="0"/>
          <w:numId w:val="13"/>
        </w:numPr>
        <w:ind w:left="0" w:firstLine="0"/>
      </w:pPr>
      <w:r w:rsidRPr="004A753D">
        <w:t xml:space="preserve">рассмотреть возможность введения требуемого ККЭЭ на этапе 4 с соответствующим периодом времени и понижающим коэффициентом; </w:t>
      </w:r>
    </w:p>
    <w:p w:rsidR="0079392E" w:rsidRPr="004A753D" w:rsidRDefault="0079392E" w:rsidP="0075050C">
      <w:pPr>
        <w:pStyle w:val="mark"/>
        <w:numPr>
          <w:ilvl w:val="0"/>
          <w:numId w:val="13"/>
        </w:numPr>
        <w:ind w:left="0" w:firstLine="0"/>
      </w:pPr>
      <w:r w:rsidRPr="004A753D">
        <w:t>предоставить окончательный отчет на рассмотр</w:t>
      </w:r>
      <w:r w:rsidR="00745076" w:rsidRPr="004A753D">
        <w:t>ение на 74-й сессии КЗМС в 2019</w:t>
      </w:r>
      <w:r w:rsidR="00745076" w:rsidRPr="004A753D">
        <w:rPr>
          <w:lang w:val="en-US"/>
        </w:rPr>
        <w:t> </w:t>
      </w:r>
      <w:r w:rsidRPr="004A753D">
        <w:t>году.</w:t>
      </w:r>
    </w:p>
    <w:p w:rsidR="0079392E" w:rsidRPr="004A753D" w:rsidRDefault="0079392E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753D">
        <w:rPr>
          <w:rFonts w:ascii="Times New Roman" w:hAnsi="Times New Roman"/>
          <w:b/>
          <w:i/>
          <w:sz w:val="26"/>
        </w:rPr>
        <w:t xml:space="preserve">Поправочные коэффициенты для судов ледового класса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Поправочный коэффициент грузовместимости вводится в целях учета снижения дедвейта судна с ледовым усилением за счет дополнительной массы стальных ледовых подкреплений по сравнению с судном, не относящимся к ледовому классу, и ввиду того, что обводы корпуса могут проектироваться с расчетом на повышенную ледовую ходкость таких судов, поэтому коэффициент общей полноты (Cb) такого судна может быть меньше такового для судна, предназначенного только для движения на открытой воде. </w:t>
      </w:r>
    </w:p>
    <w:p w:rsidR="00FD40EB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Положения пунктов 2.8 (в отношении поправочного коэффициента мощности </w:t>
      </w:r>
      <w:r w:rsidR="00745076" w:rsidRPr="004A753D">
        <w:rPr>
          <w:rFonts w:ascii="Times New Roman" w:hAnsi="Times New Roman"/>
          <w:sz w:val="26"/>
          <w:lang w:eastAsia="ja-JP"/>
        </w:rPr>
        <w:t>«</w:t>
      </w:r>
      <w:r w:rsidRPr="004A753D">
        <w:rPr>
          <w:rFonts w:ascii="Times New Roman" w:hAnsi="Times New Roman"/>
          <w:sz w:val="26"/>
        </w:rPr>
        <w:t>fj</w:t>
      </w:r>
      <w:r w:rsidR="00745076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 xml:space="preserve"> для судов ледового класса) и 2.11 (в отношении поправочного коэффициента грузовместимости </w:t>
      </w:r>
      <w:r w:rsidR="00745076" w:rsidRPr="004A753D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fi</w:t>
      </w:r>
      <w:r w:rsidR="00745076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 xml:space="preserve"> для судов ледового класса) Руководства по методу вычисления фактического конструктивного коэффициента энергоэффективности (ККЭЭ) для новых судов от 2014 года (Резолюция MEPC.245(66) с поправками) фактически ограничивает применение положений Правила 19.3 Приложения VI Конвенции МАРПОЛ в отношении судов ледового класса, не относящихся к судам ледокольного класса, но </w:t>
      </w:r>
      <w:r w:rsidR="00745076" w:rsidRPr="004A753D">
        <w:rPr>
          <w:rFonts w:ascii="Times New Roman" w:hAnsi="Times New Roman"/>
          <w:sz w:val="26"/>
        </w:rPr>
        <w:t>имеющие ледовый класс IA Super.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Другими словами, требования Правил 20 и 21 Приложения VI Конвенции МАРПОЛ не могут применяться в отношении судов ледового класса выше IA Super, поскольку для таких судов не предусмотрены вышеуказанные поправочные коэффициенты.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В частности, перед Редакционной группой по изучению вопросов, относящихся к конструктивному коэффициенту энергоэффективност</w:t>
      </w:r>
      <w:r w:rsidR="00745076" w:rsidRPr="004A753D">
        <w:rPr>
          <w:rFonts w:ascii="Times New Roman" w:hAnsi="Times New Roman"/>
          <w:sz w:val="26"/>
        </w:rPr>
        <w:t>и (ККЭЭ) после реализации этапа </w:t>
      </w:r>
      <w:r w:rsidRPr="004A753D">
        <w:rPr>
          <w:rFonts w:ascii="Times New Roman" w:hAnsi="Times New Roman"/>
          <w:sz w:val="26"/>
        </w:rPr>
        <w:t xml:space="preserve">2, была поставлена задача рассмотреть необходимость изменения текущих поправочных коэффициентов для судов ледового класса, и если таковое окажется необходимым, разработать проект поправок к Руководству по методу вычисления фактического конструктивного коэффициента энергоэффективности (ККЭЭ) для новых судов от 2014 года, рассмотреть предложение об установлении запаса на базовые линии ККЭЭ для судов ледового класса и методы определения и исключения из правил по расчету ККЭЭ судов ледового класса выше IA Super.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Положениями Правила 21.5 Приложения VI Конвенции МАРПОЛ предусматривается, что установленная пропульсивная мощность судов, в отношении которых применяется требуемый ККЭЭ, должна быть не менее </w:t>
      </w:r>
      <w:r w:rsidR="00745076" w:rsidRPr="004A753D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пропульсивной мощности, необходимой для поддержания маневренности судна в неблагоприятных условиях</w:t>
      </w:r>
      <w:r w:rsidR="00745076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 xml:space="preserve">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На основании результатов исследований, проведенных МАКО, было разработано Временное руководство по определению минимальной пропульсивной мощности для поддержания маневренности судов при неблаго</w:t>
      </w:r>
      <w:r w:rsidR="00745076" w:rsidRPr="004A753D">
        <w:rPr>
          <w:rFonts w:ascii="Times New Roman" w:hAnsi="Times New Roman"/>
          <w:sz w:val="26"/>
        </w:rPr>
        <w:t>приятных условиях (Циркуляр MSC</w:t>
      </w:r>
      <w:r w:rsidR="00745076" w:rsidRPr="004A753D">
        <w:rPr>
          <w:rFonts w:ascii="Times New Roman" w:hAnsi="Times New Roman"/>
          <w:sz w:val="26"/>
        </w:rPr>
        <w:noBreakHyphen/>
      </w:r>
      <w:r w:rsidRPr="004A753D">
        <w:rPr>
          <w:rFonts w:ascii="Times New Roman" w:hAnsi="Times New Roman"/>
          <w:sz w:val="26"/>
        </w:rPr>
        <w:t xml:space="preserve">MEPC.2/Circ.11), принятое в качестве Временного руководства по определению минимальной пропульсивной мощности для поддержания маневренности судов при неблагоприятных условиях от 2013 года в соответствии с Резолюцией MEPC.232(65). </w:t>
      </w:r>
    </w:p>
    <w:p w:rsidR="0079392E" w:rsidRPr="004A753D" w:rsidRDefault="0079392E" w:rsidP="006E3DC6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lastRenderedPageBreak/>
        <w:t xml:space="preserve">Была выражена обеспокоенность касательно достаточности пропульсивной мощности и управляемости судов для поддержания маневренности при неблагоприятных условиях, если требуемые ККЭЭ достигаются лишь снижением установленной мощности главных двигателей. </w:t>
      </w:r>
    </w:p>
    <w:p w:rsidR="00FD40EB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68-й сессии КЗМС согласился ожидать получения окончательных результатов реализации научно-исследовательских проектов и предоставить полный текст проекта пересмотренного Временного руководства от 2013 года на рассмотрение на 71-й сессии КЗМС.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70-й сессии КЗМС были рассмотрены выводы, сделанные по результатам реализации научно-исследовательского проекта </w:t>
      </w:r>
      <w:r w:rsidR="00745076" w:rsidRPr="004A753D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Энергоэффективная безопасная работа судов</w:t>
      </w:r>
      <w:r w:rsidR="00745076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 xml:space="preserve"> (SHOPERA) и японского научно-исследовательского проекта, а также проект пересмотренного Временного руководства от 2013 года.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После этого на 71-й сессии КЗМС согласовал факт применения положений Временного руководства от 2013 года на этапе 2 введения ККЭЭ, а также предложил заинтересованным Государствам-членам и международным организациям принять все возможные меры по дальнейшей разработке проекта пересмотренного Временного руководства от 2013 года с предоставлением предложений на рассмотрение на 72-й сессии КЗМС. </w:t>
      </w:r>
    </w:p>
    <w:p w:rsidR="0079392E" w:rsidRPr="004A753D" w:rsidRDefault="0079392E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753D">
        <w:rPr>
          <w:rFonts w:ascii="Times New Roman" w:hAnsi="Times New Roman"/>
          <w:b/>
          <w:i/>
          <w:sz w:val="26"/>
        </w:rPr>
        <w:t>Принятие дополнительных мер технического и рабочего характера в целях повышения энергоэффективности судов, занятых в международных перевозках</w:t>
      </w:r>
    </w:p>
    <w:p w:rsidR="00FD40EB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На 70-й сессии КЗМС принял в соответствии с Резолюцией MEPC.278(70), поправки к Приложению VI Конвенции МАРПОЛ касательно системы сбора данных по потреблению топлива судами и в соответствии с пунктом (f)(iii) Ста</w:t>
      </w:r>
      <w:r w:rsidR="00745076" w:rsidRPr="004A753D">
        <w:rPr>
          <w:rFonts w:ascii="Times New Roman" w:hAnsi="Times New Roman"/>
          <w:sz w:val="26"/>
        </w:rPr>
        <w:t>тьи 16(2) установил следующее.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Принятые поправки должны считаться принятыми 1 сентября 2017 года и вступить в силу 1 марта 2018 года. </w:t>
      </w:r>
    </w:p>
    <w:p w:rsidR="00FD40EB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Правило 22А Приложения VI к Конвенции МАРПОЛ о том, что </w:t>
      </w:r>
      <w:r w:rsidR="00745076" w:rsidRPr="004A753D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данные [которые каждая Администрация должна предоставить в отношении зарегистрированных судов валовой вместимостью 5,000 брт и выше] должны быть проверены в соответствии с процедурами, установленными Администрацией, с учетом руководства, разрабатываемого Организацией</w:t>
      </w:r>
      <w:r w:rsidR="00745076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 xml:space="preserve">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Для облегчения проверки данных Администрация должна указать, какие дополнительные документы следует предоставить совместно с ежегодным информационным отчетом.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71-й сессии КЗМС принял Резолюцию MEPC.293(71) </w:t>
      </w:r>
      <w:r w:rsidR="00745076" w:rsidRPr="004A753D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Руководство по проверке Администрацией данных по потреблению топлива на судах от 2017 года</w:t>
      </w:r>
      <w:r w:rsidR="00745076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 xml:space="preserve">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Администрация может уполномочить ту или иную организацию (см. Руководство по предоставлению полномочий организациям, действующим от имени Администрации, принятое Организацией в соответствии с Резолюцией A.739(18) с изменениями, внесенными Резолюцией MSC.208(81), и Спецификации относительно функций признанных организаций, действующих от имени Администрации, касающихся освидетельствования и выдачи свидетельств, принятой Организацией в соответствии с Резолюцией A.789(19)) на получение данных по потреблению топлива на судах, проверку этих данных на соответствие требованиям, выдачу Свидетельства о соответствии и направление этих данных в адрес Организации, а также на выполнение иных действий, разрешенных Администрацией, в отношении базы данных ИМО по потреблению топлива на судах. Во всех случаях Администрация принимает на себя </w:t>
      </w:r>
      <w:r w:rsidRPr="004A753D">
        <w:rPr>
          <w:rFonts w:ascii="Times New Roman" w:hAnsi="Times New Roman"/>
          <w:sz w:val="26"/>
        </w:rPr>
        <w:lastRenderedPageBreak/>
        <w:t>полную ответственность за выполнение всех действий со своей стороны или со стороны той или иной надлежащим образом уполномоченной ею организации.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71-й сессии КЗМС принял Резолюцию MEPC.294(71) </w:t>
      </w:r>
      <w:r w:rsidR="00D90AD2" w:rsidRPr="004A753D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Руководство по разработке и управлению базой данных ИМО по потреблению топлива на судах от 2017 года</w:t>
      </w:r>
      <w:r w:rsidR="00D90AD2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>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В данном Руководстве представлены указания по разработке и управлению базой данных ИМО по потреблению топлива на судах. В нем описаны методы обеспечения анонимности данных, используемых Сторонами Конвенции, в соответствии с Правилом 22А Приложения VI к Конвенции МАРПОЛ, а также обеспечения полноты данных в базе.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База данных будет разработана в виде модуля в составе Глобальной интегрированной базы данных о судоходстве (GI</w:t>
      </w:r>
      <w:r w:rsidR="00D90AD2" w:rsidRPr="004A753D">
        <w:rPr>
          <w:rFonts w:ascii="Times New Roman" w:hAnsi="Times New Roman"/>
          <w:sz w:val="26"/>
        </w:rPr>
        <w:t>SIS) с комплексной системой веб</w:t>
      </w:r>
      <w:r w:rsidR="00D90AD2" w:rsidRPr="004A753D">
        <w:rPr>
          <w:rFonts w:ascii="Times New Roman" w:hAnsi="Times New Roman"/>
          <w:sz w:val="26"/>
        </w:rPr>
        <w:noBreakHyphen/>
      </w:r>
      <w:r w:rsidRPr="004A753D">
        <w:rPr>
          <w:rFonts w:ascii="Times New Roman" w:hAnsi="Times New Roman"/>
          <w:sz w:val="26"/>
        </w:rPr>
        <w:t>аккаунтов ИМО для управления безопасным доступом к модулю.</w:t>
      </w:r>
    </w:p>
    <w:p w:rsidR="006C6FDB" w:rsidRPr="004A753D" w:rsidRDefault="0079392E" w:rsidP="006C6FDB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На 71-й сессии КЗМС одобрил циркуляр о Внесении в систему сбора данных ИМО по потреблению топлива информации по судам, не имеющим право ходить под флагом той или иной Стороны Конвенции МАРПОЛ (Приложение V).</w:t>
      </w:r>
    </w:p>
    <w:p w:rsidR="0079392E" w:rsidRPr="004A753D" w:rsidRDefault="0079392E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753D">
        <w:rPr>
          <w:rFonts w:ascii="Times New Roman" w:hAnsi="Times New Roman"/>
          <w:b/>
          <w:i/>
          <w:sz w:val="26"/>
        </w:rPr>
        <w:t>Транспортные показатели судов, не перевозящих грузы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Большинство делегаций, выразивших свои мнения, высказали беспокойство по вопросам, указанным в документе, а также о необходимости установления транспортных показателей для судов обеспечения морских платформ и морских перевозок.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В связи с этим, на 71-й сессии КЗМС предложил заинтересованным Членам и международным организациям совместно с Международной ассоциацией морских подрядчиков (IMCA) направить предложения по методам работы с судами обеспечения морских платформ и морских перевозок в рамках системы сбора данных ИМО.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Международная ассоциация круизных линий (CLIA) предложила рассчитывать соответствующие транспортные показатели круизных пассажирских судов исходя из </w:t>
      </w:r>
      <w:r w:rsidR="00D90AD2" w:rsidRPr="004A753D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количества перевозимых пассажиров</w:t>
      </w:r>
      <w:r w:rsidR="00D90AD2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 xml:space="preserve">. В связи с этим необходимо внести изменения в стандартизированный формат предоставления данных в системе сбора данных (Приложение 3 Руководства по разработке судового плана управления энергоэффективностью (SEEMP) от 2016 года).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Учитывая тот факт, что в Приложение 3 Руководства по разработке судового плана управления энергоэффективностью (SEEMP) от 2016 года включены пункты о предоставлении отчетности, предусмотренные в Дополнении IX Приложения VI к Конвенции МАРПОЛ, на 71-й сессии КЗМС посчитал, что при внесении фразы </w:t>
      </w:r>
      <w:r w:rsidR="00D90AD2" w:rsidRPr="004A753D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количество перевозимых пассажиров</w:t>
      </w:r>
      <w:r w:rsidR="00D90AD2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 xml:space="preserve"> в Приложение 3 данного Руководства будет обеспечено соответствие лишь с положениями поправок к Приложению VI к Конвенции МАРПОЛ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КЗМС рассмотрит предложенные поправки к Руководству по разработке судового плана управления энергоэффективностью судна (SEEMP) от 2016 года на предстоящей сессии. </w:t>
      </w:r>
    </w:p>
    <w:p w:rsidR="0079392E" w:rsidRPr="004A753D" w:rsidRDefault="00B64E5E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753D">
        <w:rPr>
          <w:rFonts w:ascii="Times New Roman" w:hAnsi="Times New Roman"/>
          <w:b/>
          <w:i/>
          <w:sz w:val="26"/>
        </w:rPr>
        <w:t>Снижение уровня выбросов парниковых газов с судов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70-й сессии КЗМС одобрил Дорожную карту по разработке Комплексной стратегии ИМО по снижению выбросов парниковых газов с судов, предусматривающий принятие первоначальной стратегии на 72-й сессии КЗМС (в апреле 2018 года) и пересмотренной стратегии на 80-й сессии КЗМС (весной 2023 года).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lastRenderedPageBreak/>
        <w:t>В Дорожной карте предусмотрено следующее:</w:t>
      </w:r>
    </w:p>
    <w:p w:rsidR="0079392E" w:rsidRPr="004A753D" w:rsidRDefault="00B64E5E" w:rsidP="0075050C">
      <w:pPr>
        <w:pStyle w:val="mark"/>
        <w:numPr>
          <w:ilvl w:val="0"/>
          <w:numId w:val="14"/>
        </w:numPr>
        <w:ind w:left="0" w:firstLine="0"/>
      </w:pPr>
      <w:r w:rsidRPr="004A753D">
        <w:t xml:space="preserve">сценарии снижения выбросов и оценка предполагаемой будущей потребности в судах; </w:t>
      </w:r>
    </w:p>
    <w:p w:rsidR="0079392E" w:rsidRPr="004A753D" w:rsidRDefault="00B64E5E" w:rsidP="0075050C">
      <w:pPr>
        <w:pStyle w:val="mark"/>
        <w:numPr>
          <w:ilvl w:val="0"/>
          <w:numId w:val="14"/>
        </w:numPr>
        <w:ind w:left="0" w:firstLine="0"/>
      </w:pPr>
      <w:r w:rsidRPr="004A753D">
        <w:t xml:space="preserve">уровни устремлений и руководящие принципы для реализации стратегии; </w:t>
      </w:r>
    </w:p>
    <w:p w:rsidR="0079392E" w:rsidRPr="004A753D" w:rsidRDefault="00B64E5E" w:rsidP="0075050C">
      <w:pPr>
        <w:pStyle w:val="mark"/>
        <w:numPr>
          <w:ilvl w:val="0"/>
          <w:numId w:val="14"/>
        </w:numPr>
        <w:ind w:left="0" w:firstLine="0"/>
      </w:pPr>
      <w:r w:rsidRPr="004A753D">
        <w:t xml:space="preserve">параметры или показатели энергоэффективности судов (в текущей и долгосрочной перспективе), меры снижения уровня выбросов (в ближайшей, среднесрочной и долгосрочной перспективе), включая альтернативные виды топлива и влияние ККЭЭ; </w:t>
      </w:r>
    </w:p>
    <w:p w:rsidR="0079392E" w:rsidRPr="004A753D" w:rsidRDefault="00B64E5E" w:rsidP="0075050C">
      <w:pPr>
        <w:pStyle w:val="mark"/>
        <w:numPr>
          <w:ilvl w:val="0"/>
          <w:numId w:val="14"/>
        </w:numPr>
        <w:ind w:left="0" w:firstLine="0"/>
      </w:pPr>
      <w:r w:rsidRPr="004A753D">
        <w:t xml:space="preserve">факторы, ограничивающие снижение уровня выбросов и методы их устранения; </w:t>
      </w:r>
    </w:p>
    <w:p w:rsidR="0079392E" w:rsidRPr="004A753D" w:rsidRDefault="00B64E5E" w:rsidP="0075050C">
      <w:pPr>
        <w:pStyle w:val="mark"/>
        <w:numPr>
          <w:ilvl w:val="0"/>
          <w:numId w:val="14"/>
        </w:numPr>
        <w:ind w:left="0" w:firstLine="0"/>
      </w:pPr>
      <w:r w:rsidRPr="004A753D">
        <w:t xml:space="preserve">приоритетные направления для проведения НИОКР, включая относящиеся к технологическим разработкам; </w:t>
      </w:r>
    </w:p>
    <w:p w:rsidR="0079392E" w:rsidRPr="004A753D" w:rsidRDefault="00B64E5E" w:rsidP="0075050C">
      <w:pPr>
        <w:pStyle w:val="mark"/>
        <w:numPr>
          <w:ilvl w:val="0"/>
          <w:numId w:val="14"/>
        </w:numPr>
        <w:ind w:left="0" w:firstLine="0"/>
      </w:pPr>
      <w:r w:rsidRPr="004A753D">
        <w:t xml:space="preserve">издержки и выгоды; </w:t>
      </w:r>
    </w:p>
    <w:p w:rsidR="0079392E" w:rsidRPr="004A753D" w:rsidRDefault="00B64E5E" w:rsidP="0075050C">
      <w:pPr>
        <w:pStyle w:val="mark"/>
        <w:numPr>
          <w:ilvl w:val="0"/>
          <w:numId w:val="14"/>
        </w:numPr>
        <w:ind w:left="0" w:firstLine="0"/>
      </w:pPr>
      <w:r w:rsidRPr="004A753D">
        <w:t>влияние на Государства с учетом Плана действий высокого уровня (HLAP) (Резолюция A.1098(29)).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На 71-й сессии КЗМС отметил проект структуры первоначальной стратегии ИМО по снижению выбросов парниковых газов с судов, подготовленный соответствующей Рабочей группой:</w:t>
      </w:r>
    </w:p>
    <w:p w:rsidR="0079392E" w:rsidRPr="004A753D" w:rsidRDefault="0079392E" w:rsidP="0075050C">
      <w:pPr>
        <w:pStyle w:val="mark"/>
        <w:numPr>
          <w:ilvl w:val="0"/>
          <w:numId w:val="15"/>
        </w:numPr>
        <w:ind w:left="0" w:firstLine="0"/>
      </w:pPr>
      <w:r w:rsidRPr="004A753D">
        <w:t xml:space="preserve">преамбула, введение, контекст, включая сценарии снижения выбросов; </w:t>
      </w:r>
    </w:p>
    <w:p w:rsidR="0079392E" w:rsidRPr="004A753D" w:rsidRDefault="00B64E5E" w:rsidP="0075050C">
      <w:pPr>
        <w:pStyle w:val="mark"/>
        <w:numPr>
          <w:ilvl w:val="0"/>
          <w:numId w:val="15"/>
        </w:numPr>
        <w:ind w:left="0" w:firstLine="0"/>
      </w:pPr>
      <w:r w:rsidRPr="004A753D">
        <w:t>концепция;</w:t>
      </w:r>
    </w:p>
    <w:p w:rsidR="0079392E" w:rsidRPr="004A753D" w:rsidRDefault="00B64E5E" w:rsidP="0075050C">
      <w:pPr>
        <w:pStyle w:val="mark"/>
        <w:numPr>
          <w:ilvl w:val="0"/>
          <w:numId w:val="15"/>
        </w:numPr>
        <w:ind w:left="0" w:firstLine="0"/>
      </w:pPr>
      <w:r w:rsidRPr="004A753D">
        <w:t xml:space="preserve">уровни устремлений; </w:t>
      </w:r>
    </w:p>
    <w:p w:rsidR="0079392E" w:rsidRPr="004A753D" w:rsidRDefault="0079392E" w:rsidP="0075050C">
      <w:pPr>
        <w:pStyle w:val="mark"/>
        <w:numPr>
          <w:ilvl w:val="0"/>
          <w:numId w:val="15"/>
        </w:numPr>
        <w:ind w:left="0" w:firstLine="0"/>
      </w:pPr>
      <w:r w:rsidRPr="004A753D">
        <w:t xml:space="preserve">руководящие принципы; </w:t>
      </w:r>
    </w:p>
    <w:p w:rsidR="0079392E" w:rsidRPr="004A753D" w:rsidRDefault="0079392E" w:rsidP="0075050C">
      <w:pPr>
        <w:pStyle w:val="mark"/>
        <w:numPr>
          <w:ilvl w:val="0"/>
          <w:numId w:val="15"/>
        </w:numPr>
        <w:ind w:left="0" w:firstLine="0"/>
      </w:pPr>
      <w:r w:rsidRPr="004A753D">
        <w:t xml:space="preserve">перечень мер, принимаемых в краткосрочной, среднесрочной и долгосрочной перспективе с указанием возможных сроков их применения и степени влияния на Государства; </w:t>
      </w:r>
    </w:p>
    <w:p w:rsidR="00B64E5E" w:rsidRPr="004A753D" w:rsidRDefault="0079392E" w:rsidP="0075050C">
      <w:pPr>
        <w:pStyle w:val="mark"/>
        <w:numPr>
          <w:ilvl w:val="0"/>
          <w:numId w:val="15"/>
        </w:numPr>
        <w:ind w:left="0" w:firstLine="0"/>
      </w:pPr>
      <w:r w:rsidRPr="004A753D">
        <w:t xml:space="preserve">ограничивающие факторы и вспомогательные меры, наращивание потенциала и техническое сотрудничество; </w:t>
      </w:r>
    </w:p>
    <w:p w:rsidR="0079392E" w:rsidRPr="004A753D" w:rsidRDefault="0079392E" w:rsidP="0075050C">
      <w:pPr>
        <w:pStyle w:val="mark"/>
        <w:numPr>
          <w:ilvl w:val="0"/>
          <w:numId w:val="15"/>
        </w:numPr>
        <w:ind w:left="0" w:firstLine="0"/>
      </w:pPr>
      <w:r w:rsidRPr="004A753D">
        <w:t xml:space="preserve">НИОКР; </w:t>
      </w:r>
    </w:p>
    <w:p w:rsidR="0079392E" w:rsidRPr="004A753D" w:rsidRDefault="0079392E" w:rsidP="0075050C">
      <w:pPr>
        <w:pStyle w:val="mark"/>
        <w:numPr>
          <w:ilvl w:val="0"/>
          <w:numId w:val="15"/>
        </w:numPr>
        <w:ind w:left="0" w:firstLine="0"/>
      </w:pPr>
      <w:r w:rsidRPr="004A753D">
        <w:t xml:space="preserve">последующие меры, принимаемые для разработки пересмотренной стратегии; </w:t>
      </w:r>
    </w:p>
    <w:p w:rsidR="0079392E" w:rsidRPr="004A753D" w:rsidRDefault="0079392E" w:rsidP="0075050C">
      <w:pPr>
        <w:pStyle w:val="mark"/>
        <w:numPr>
          <w:ilvl w:val="0"/>
          <w:numId w:val="15"/>
        </w:numPr>
        <w:ind w:left="0" w:firstLine="0"/>
      </w:pPr>
      <w:r w:rsidRPr="004A753D">
        <w:t>периодический пересмотр Стратегии.</w:t>
      </w:r>
    </w:p>
    <w:p w:rsidR="00B64E5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Первое заседание Межсессионной рабочей группы по вопросам снижения уровня выбросов парниковых газов с судов</w:t>
      </w:r>
      <w:r w:rsidR="00B22DD9" w:rsidRPr="004A753D">
        <w:rPr>
          <w:rFonts w:ascii="Times New Roman" w:hAnsi="Times New Roman"/>
          <w:sz w:val="26"/>
        </w:rPr>
        <w:t xml:space="preserve"> </w:t>
      </w:r>
      <w:r w:rsidR="00B22DD9" w:rsidRPr="004A753D">
        <w:rPr>
          <w:rFonts w:ascii="Times New Roman" w:hAnsi="Times New Roman" w:cs="Times New Roman"/>
          <w:sz w:val="26"/>
          <w:szCs w:val="26"/>
        </w:rPr>
        <w:t xml:space="preserve"> </w:t>
      </w:r>
      <w:r w:rsidRPr="004A753D">
        <w:rPr>
          <w:rFonts w:ascii="Times New Roman" w:hAnsi="Times New Roman"/>
          <w:sz w:val="26"/>
        </w:rPr>
        <w:t>состоялось 26-30 июня 2017 года с предоставлением протокола данного заседания на рассмотрение на пленарном заседании.</w:t>
      </w:r>
    </w:p>
    <w:p w:rsidR="0079392E" w:rsidRPr="004A753D" w:rsidRDefault="0079392E" w:rsidP="006E3DC6">
      <w:pPr>
        <w:pStyle w:val="a3"/>
        <w:suppressAutoHyphens/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Второе заседание Межсессионной рабочей группы по вопросам снижения уровня выбросов парниковых газов с судов</w:t>
      </w:r>
      <w:r w:rsidR="00B22DD9" w:rsidRPr="004A753D">
        <w:rPr>
          <w:rFonts w:ascii="Times New Roman" w:hAnsi="Times New Roman"/>
          <w:sz w:val="26"/>
        </w:rPr>
        <w:t xml:space="preserve"> </w:t>
      </w:r>
      <w:r w:rsidRPr="004A753D">
        <w:rPr>
          <w:rFonts w:ascii="Times New Roman" w:hAnsi="Times New Roman"/>
          <w:sz w:val="26"/>
        </w:rPr>
        <w:t>состоится 23-27 октября 2017 года. 72-ю сессию КЗМС планируется провести непосредственно вслед за 3-м заседанием Межсессионной рабочей группы по вопросам снижения уровня выбросов парниковых газов с судов.</w:t>
      </w:r>
    </w:p>
    <w:p w:rsidR="0079392E" w:rsidRPr="004A753D" w:rsidRDefault="0079392E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753D">
        <w:rPr>
          <w:rFonts w:ascii="Times New Roman" w:hAnsi="Times New Roman"/>
          <w:b/>
          <w:i/>
          <w:sz w:val="26"/>
        </w:rPr>
        <w:t xml:space="preserve">Предотвращение и борьба с загрязнениями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На своей 71-й сессии КЗМС:</w:t>
      </w:r>
    </w:p>
    <w:p w:rsidR="0079392E" w:rsidRPr="004A753D" w:rsidRDefault="00B64E5E" w:rsidP="0075050C">
      <w:pPr>
        <w:pStyle w:val="mark"/>
        <w:numPr>
          <w:ilvl w:val="0"/>
          <w:numId w:val="16"/>
        </w:numPr>
        <w:ind w:left="0" w:firstLine="0"/>
      </w:pPr>
      <w:r w:rsidRPr="004A753D">
        <w:t xml:space="preserve">утвердил оценку веществ и их внесение в перечни 1 и 3 Циркуляра MEPC.2/Circ.22, с действительностью во всех странах без указания даты истечения срока действия; </w:t>
      </w:r>
    </w:p>
    <w:p w:rsidR="0079392E" w:rsidRPr="004A753D" w:rsidRDefault="00B64E5E" w:rsidP="0075050C">
      <w:pPr>
        <w:pStyle w:val="mark"/>
        <w:numPr>
          <w:ilvl w:val="0"/>
          <w:numId w:val="16"/>
        </w:numPr>
        <w:ind w:left="0" w:firstLine="0"/>
      </w:pPr>
      <w:r w:rsidRPr="004A753D">
        <w:t xml:space="preserve">утвердил оценку моющих присадок и их включение в Приложение 10 Циркуляра MEPC.2/Circ.22;  </w:t>
      </w:r>
    </w:p>
    <w:p w:rsidR="0079392E" w:rsidRPr="004A753D" w:rsidRDefault="00B64E5E" w:rsidP="0075050C">
      <w:pPr>
        <w:pStyle w:val="mark"/>
        <w:numPr>
          <w:ilvl w:val="0"/>
          <w:numId w:val="16"/>
        </w:numPr>
        <w:ind w:left="0" w:firstLine="0"/>
      </w:pPr>
      <w:r w:rsidRPr="004A753D">
        <w:t>утвердил оценку моющих присадок и их включение в следующую редакцию Циркуляра MEPC.2/Circular, т.е. MEPC.2/Circ.23, планируемого к выпуску в декабре 2017 года;</w:t>
      </w:r>
    </w:p>
    <w:p w:rsidR="0079392E" w:rsidRPr="004A753D" w:rsidRDefault="00B64E5E" w:rsidP="0075050C">
      <w:pPr>
        <w:pStyle w:val="mark"/>
        <w:numPr>
          <w:ilvl w:val="0"/>
          <w:numId w:val="16"/>
        </w:numPr>
        <w:ind w:left="0" w:firstLine="0"/>
      </w:pPr>
      <w:r w:rsidRPr="004A753D">
        <w:lastRenderedPageBreak/>
        <w:t xml:space="preserve">одобрил проект пересмотренной Главы 21 Международного кодекса перевозок опасных химических грузов наливом (IBC), ожидающего окончательного согласования глав 17 и 18, для последующего предоставления на рассмотрение всех трех пересмотренных глав в целях их принятия (одобрен на 98-й сессии КБМ); </w:t>
      </w:r>
    </w:p>
    <w:p w:rsidR="0079392E" w:rsidRPr="004A753D" w:rsidRDefault="00B64E5E" w:rsidP="0075050C">
      <w:pPr>
        <w:pStyle w:val="mark"/>
        <w:numPr>
          <w:ilvl w:val="0"/>
          <w:numId w:val="16"/>
        </w:numPr>
        <w:ind w:left="0" w:firstLine="0"/>
      </w:pPr>
      <w:r w:rsidRPr="004A753D">
        <w:t>одобрил проект резолюции Ассамблеи по Кодексу по транспортировке и перегрузке опасных и вредных жидких веществ наливом судами обеспечения морских платформ</w:t>
      </w:r>
      <w:r w:rsidR="009856E5" w:rsidRPr="004A753D">
        <w:t xml:space="preserve"> </w:t>
      </w:r>
      <w:r w:rsidRPr="004A753D">
        <w:t xml:space="preserve">для предоставления на 30-й сессии Ассамблеи ИМО в целях его последующего принятия (одобрен на 98-й сессии КБМ); </w:t>
      </w:r>
    </w:p>
    <w:p w:rsidR="0079392E" w:rsidRPr="004A753D" w:rsidRDefault="00B64E5E" w:rsidP="0075050C">
      <w:pPr>
        <w:pStyle w:val="mark"/>
        <w:numPr>
          <w:ilvl w:val="0"/>
          <w:numId w:val="16"/>
        </w:numPr>
        <w:ind w:left="0" w:firstLine="0"/>
      </w:pPr>
      <w:r w:rsidRPr="004A753D">
        <w:t xml:space="preserve">одобрил Циркуляр MEPC.1/Circ.xx </w:t>
      </w:r>
      <w:r w:rsidR="009856E5" w:rsidRPr="004A753D">
        <w:t>«</w:t>
      </w:r>
      <w:r w:rsidRPr="004A753D">
        <w:t>Унифицированная интерпретация Правила 36.2.10 Приложения I к Конвенции МАРПОЛ</w:t>
      </w:r>
      <w:r w:rsidR="009856E5" w:rsidRPr="004A753D">
        <w:t>»</w:t>
      </w:r>
      <w:r w:rsidRPr="004A753D">
        <w:t xml:space="preserve">. </w:t>
      </w:r>
    </w:p>
    <w:p w:rsidR="0079392E" w:rsidRPr="004A753D" w:rsidRDefault="0079392E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753D">
        <w:rPr>
          <w:rFonts w:ascii="Times New Roman" w:hAnsi="Times New Roman"/>
          <w:b/>
          <w:i/>
          <w:sz w:val="26"/>
        </w:rPr>
        <w:t xml:space="preserve">Пересмотренное Руководство по применению положений Приложения V Конвенции МАРПОЛ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71-й сессии КЗМС принял Резолюцию MEPC.295 (71) касательно Руководства по применению положений Приложения V Конвенции МАРПОЛ от 2017 года, аннулирующую Руководство от 2012 года.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На 69-й сессии КЗМС одобрил проект поправок к Приложению</w:t>
      </w:r>
      <w:r w:rsidR="009856E5" w:rsidRPr="004A753D">
        <w:rPr>
          <w:rFonts w:ascii="Times New Roman" w:hAnsi="Times New Roman"/>
          <w:sz w:val="26"/>
        </w:rPr>
        <w:t xml:space="preserve"> </w:t>
      </w:r>
      <w:r w:rsidR="009856E5" w:rsidRPr="004A753D">
        <w:rPr>
          <w:rFonts w:ascii="Times New Roman" w:hAnsi="Times New Roman"/>
          <w:sz w:val="26"/>
          <w:lang w:val="en-US"/>
        </w:rPr>
        <w:t>V</w:t>
      </w:r>
      <w:r w:rsidRPr="004A753D">
        <w:rPr>
          <w:rFonts w:ascii="Times New Roman" w:hAnsi="Times New Roman"/>
          <w:sz w:val="26"/>
        </w:rPr>
        <w:t xml:space="preserve"> Конвенции МАРПОЛ касательно веществ, опасных для морской среды, подготовленный Подкомитетом по перевозке грузов и контейнеров (CCC) на 2-й сессии, и поручил Подкомитету по перевозке грузов и контейнеров (CCC) на своей 3-й сессии окончательно согласовать проект поправок к Руководству по применению положений Приложения V к Конвенции МАРПОЛ от 2012 года</w:t>
      </w:r>
      <w:r w:rsidR="00B22DD9" w:rsidRPr="004A753D">
        <w:rPr>
          <w:rFonts w:ascii="Times New Roman" w:hAnsi="Times New Roman"/>
          <w:sz w:val="26"/>
        </w:rPr>
        <w:t xml:space="preserve"> </w:t>
      </w:r>
      <w:r w:rsidRPr="004A753D">
        <w:rPr>
          <w:rFonts w:ascii="Times New Roman" w:hAnsi="Times New Roman"/>
          <w:sz w:val="26"/>
        </w:rPr>
        <w:t xml:space="preserve">(Резолюция MEPC.219(63)).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В пересмотренном Руководстве содержатся поправки к Руководству от 2012 года касательно электротехнических и электронных отходов, принятые в соответствии с Резолюцией MEPC.239(65), проект поправок, разработанный на 3-й сессии Подкомитета по перевозке грузов и контейнеров (CCC) (CCC 3/15, Приложение 5) исходя из поправок к Приложению V Конвенции МАРПОЛ касательно грузовых остатков, а также предлагаемые новые поправки для приведение положений Руководства в соответствие с соответствующими требованиями Полярного кодекса. Также был предложен проект определения электротехнических и электронных отходов с учетом рекомендаций, выданных на пленарном заседании в ходе 70-й сессии КЗМС, а также с учетом определений, разработанных другими Организациями, включая страны-участницы Базельской Конвенции, Организации экономического сотрудничества и развития (ОЭСР) и Европейской комиссии. </w:t>
      </w:r>
    </w:p>
    <w:p w:rsidR="0079392E" w:rsidRPr="004A753D" w:rsidRDefault="0079392E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753D">
        <w:rPr>
          <w:rFonts w:ascii="Times New Roman" w:hAnsi="Times New Roman"/>
          <w:b/>
          <w:i/>
          <w:sz w:val="26"/>
        </w:rPr>
        <w:t>Рабочая программа Комитета и вспомогательных органов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На 71-й сессии КЗМС согласился внести в повестку дня рассмотрение нижеследующих новых вопросов:</w:t>
      </w:r>
    </w:p>
    <w:p w:rsidR="0079392E" w:rsidRPr="004A753D" w:rsidRDefault="0079392E" w:rsidP="0075050C">
      <w:pPr>
        <w:pStyle w:val="mark"/>
        <w:numPr>
          <w:ilvl w:val="0"/>
          <w:numId w:val="17"/>
        </w:numPr>
        <w:ind w:left="0" w:firstLine="0"/>
      </w:pPr>
      <w:r w:rsidRPr="004A753D">
        <w:t xml:space="preserve">рассмотрение исходного предложения по изменению положений Приложения 1 Международной конвенции о контроле за вредными противообрастающими системами на судах (AFS) с включением в него средств контроля за цибутином </w:t>
      </w:r>
      <w:r w:rsidRPr="00EC160D">
        <w:rPr>
          <w:highlight w:val="yellow"/>
        </w:rPr>
        <w:t>"</w:t>
      </w:r>
      <w:r w:rsidRPr="00F24BBD">
        <w:t>3</w:t>
      </w:r>
      <w:r w:rsidRPr="004A753D">
        <w:t xml:space="preserve"> в рамках двухлетней повестки дня Подкомитета по предотвращению загрязнения и реагированию (PPR) на 2018-2019 гг. и предварительной повестки дня на 5-й сессии Подкомитета по предотвращению загрязнения и реагированию (PPR) с </w:t>
      </w:r>
      <w:r w:rsidR="009856E5" w:rsidRPr="004A753D">
        <w:t xml:space="preserve">целевым годом завершения – 2018 г.; </w:t>
      </w:r>
    </w:p>
    <w:p w:rsidR="0079392E" w:rsidRPr="004A753D" w:rsidRDefault="0079392E" w:rsidP="0075050C">
      <w:pPr>
        <w:pStyle w:val="mark"/>
        <w:numPr>
          <w:ilvl w:val="0"/>
          <w:numId w:val="17"/>
        </w:numPr>
        <w:ind w:left="0" w:firstLine="0"/>
      </w:pPr>
      <w:r w:rsidRPr="004A753D">
        <w:t>пересмотр Руководства по применению стандартов сброса и проведению рабочих испытаний установок для обработки сточных вод от 2012</w:t>
      </w:r>
      <w:r w:rsidR="009856E5" w:rsidRPr="004A753D">
        <w:t xml:space="preserve"> года</w:t>
      </w:r>
      <w:r w:rsidRPr="004A753D">
        <w:t xml:space="preserve"> (Резолюция MEPC.227(64)) в целях учета несоответствий в этих применении</w:t>
      </w:r>
      <w:r w:rsidR="00F673BA" w:rsidRPr="00F673BA">
        <w:rPr>
          <w:highlight w:val="yellow"/>
        </w:rPr>
        <w:t>"</w:t>
      </w:r>
      <w:r w:rsidRPr="004A753D">
        <w:t xml:space="preserve">; </w:t>
      </w:r>
    </w:p>
    <w:p w:rsidR="0079392E" w:rsidRPr="004A753D" w:rsidRDefault="0079392E" w:rsidP="0075050C">
      <w:pPr>
        <w:pStyle w:val="mark"/>
        <w:numPr>
          <w:ilvl w:val="0"/>
          <w:numId w:val="17"/>
        </w:numPr>
        <w:ind w:left="0" w:firstLine="0"/>
      </w:pPr>
      <w:r w:rsidRPr="004A753D">
        <w:lastRenderedPageBreak/>
        <w:t>меры по снижению рисков использования и перевозки тяжелого топлива на судах в арктических водах</w:t>
      </w:r>
      <w:r w:rsidR="00F673BA" w:rsidRPr="00F673BA">
        <w:rPr>
          <w:highlight w:val="yellow"/>
        </w:rPr>
        <w:t>"</w:t>
      </w:r>
      <w:r w:rsidRPr="004A753D">
        <w:t xml:space="preserve">; </w:t>
      </w:r>
    </w:p>
    <w:p w:rsidR="0079392E" w:rsidRPr="004A753D" w:rsidRDefault="0079392E" w:rsidP="0075050C">
      <w:pPr>
        <w:pStyle w:val="mark"/>
        <w:numPr>
          <w:ilvl w:val="0"/>
          <w:numId w:val="17"/>
        </w:numPr>
        <w:ind w:left="0" w:firstLine="0"/>
      </w:pPr>
      <w:r w:rsidRPr="004A753D">
        <w:t xml:space="preserve">разработка поправок к Правилу 19 Приложения VI к Конвенции МАРПОЛ и соответствующего Свидетельства об освобождении от выполнения требований для судов, не совершающих международных рейсов; </w:t>
      </w:r>
    </w:p>
    <w:p w:rsidR="0079392E" w:rsidRPr="004A753D" w:rsidRDefault="0079392E" w:rsidP="0075050C">
      <w:pPr>
        <w:pStyle w:val="mark"/>
        <w:numPr>
          <w:ilvl w:val="0"/>
          <w:numId w:val="17"/>
        </w:numPr>
        <w:ind w:left="0" w:firstLine="0"/>
      </w:pPr>
      <w:r w:rsidRPr="004A753D">
        <w:t>систематическое применение Правила 14.1.3 Приложения V к Конвенции МАРПОЛ (в отношении качества топлива и наличия топлива с низким содержанием серы для обеспечения применения лимита содержания серы 0,50% по массе).</w:t>
      </w:r>
    </w:p>
    <w:p w:rsidR="00561560" w:rsidRPr="004A753D" w:rsidRDefault="00B22DD9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На 71-й сессии КЗМС не согласовал тему </w:t>
      </w:r>
      <w:r w:rsidR="009856E5" w:rsidRPr="004A753D">
        <w:rPr>
          <w:rFonts w:ascii="Times New Roman" w:hAnsi="Times New Roman"/>
          <w:sz w:val="26"/>
        </w:rPr>
        <w:t>«</w:t>
      </w:r>
      <w:r w:rsidRPr="004A753D">
        <w:rPr>
          <w:rFonts w:ascii="Times New Roman" w:hAnsi="Times New Roman"/>
          <w:sz w:val="26"/>
        </w:rPr>
        <w:t>Р</w:t>
      </w:r>
      <w:r w:rsidR="009856E5" w:rsidRPr="004A753D">
        <w:rPr>
          <w:rFonts w:ascii="Times New Roman" w:hAnsi="Times New Roman"/>
          <w:sz w:val="26"/>
        </w:rPr>
        <w:t>азработка поправок к Приложению </w:t>
      </w:r>
      <w:r w:rsidRPr="004A753D">
        <w:rPr>
          <w:rFonts w:ascii="Times New Roman" w:hAnsi="Times New Roman"/>
          <w:sz w:val="26"/>
        </w:rPr>
        <w:t>VI к Конвенции МАРПОЛ и Техническому кодексу по контролю выбросов окислов азота касательно применения нескольких эксплуатационных профилей (карт) для судовых дизельных двигателей</w:t>
      </w:r>
      <w:r w:rsidR="009856E5" w:rsidRPr="004A753D">
        <w:rPr>
          <w:rFonts w:ascii="Times New Roman" w:hAnsi="Times New Roman"/>
          <w:sz w:val="26"/>
        </w:rPr>
        <w:t>»</w:t>
      </w:r>
      <w:r w:rsidRPr="004A753D">
        <w:rPr>
          <w:rFonts w:ascii="Times New Roman" w:hAnsi="Times New Roman"/>
          <w:sz w:val="26"/>
        </w:rPr>
        <w:t xml:space="preserve">. </w:t>
      </w:r>
    </w:p>
    <w:p w:rsidR="0079392E" w:rsidRPr="004A753D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 xml:space="preserve">Следующие документы направляются на рассмотрение на 5-й сессии Подкомитета по предотвращению загрязнения и реагированию (PPR) для дальнейшей проработки и разработки нового наименования для новой темы. </w:t>
      </w:r>
    </w:p>
    <w:p w:rsidR="0079392E" w:rsidRPr="004A753D" w:rsidRDefault="00561560" w:rsidP="001B2418">
      <w:pPr>
        <w:pStyle w:val="a3"/>
        <w:suppressAutoHyphens/>
        <w:spacing w:before="24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753D">
        <w:rPr>
          <w:rFonts w:ascii="Times New Roman" w:hAnsi="Times New Roman"/>
          <w:b/>
          <w:i/>
          <w:sz w:val="26"/>
        </w:rPr>
        <w:t xml:space="preserve">Любые другие вопросы </w:t>
      </w:r>
    </w:p>
    <w:p w:rsidR="0079392E" w:rsidRPr="00B22DD9" w:rsidRDefault="0079392E" w:rsidP="0071297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53D">
        <w:rPr>
          <w:rFonts w:ascii="Times New Roman" w:hAnsi="Times New Roman"/>
          <w:sz w:val="26"/>
        </w:rPr>
        <w:t>Канада предложила заинтересованным странам присоединиться к работе в целях улучшения уровня знаний о шуме, создаваемом судами, и разработке мер по его снижению, обсудить возможность совместной работы по разработке инновационных решений в отношении снижения уровней подводного шума, создаваемого судами, в целях снижения негативного воздействия на морских млекопитающих, в том числе возможной работы в ИМО.</w:t>
      </w:r>
      <w:r w:rsidRPr="00B22DD9">
        <w:rPr>
          <w:rFonts w:ascii="Times New Roman" w:hAnsi="Times New Roman"/>
          <w:sz w:val="26"/>
        </w:rPr>
        <w:t xml:space="preserve"> </w:t>
      </w:r>
    </w:p>
    <w:sectPr w:rsidR="0079392E" w:rsidRPr="00B22DD9" w:rsidSect="001B241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420"/>
    <w:multiLevelType w:val="hybridMultilevel"/>
    <w:tmpl w:val="1786D4BE"/>
    <w:lvl w:ilvl="0" w:tplc="F66C57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94059"/>
    <w:multiLevelType w:val="hybridMultilevel"/>
    <w:tmpl w:val="AFE69000"/>
    <w:lvl w:ilvl="0" w:tplc="F66C57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67618"/>
    <w:multiLevelType w:val="hybridMultilevel"/>
    <w:tmpl w:val="975ABBCE"/>
    <w:lvl w:ilvl="0" w:tplc="F66C57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70166"/>
    <w:multiLevelType w:val="hybridMultilevel"/>
    <w:tmpl w:val="530C5DFC"/>
    <w:lvl w:ilvl="0" w:tplc="F66C573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F66C573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31825"/>
    <w:multiLevelType w:val="hybridMultilevel"/>
    <w:tmpl w:val="02C0D190"/>
    <w:lvl w:ilvl="0" w:tplc="F66C57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97F85"/>
    <w:multiLevelType w:val="hybridMultilevel"/>
    <w:tmpl w:val="57A6E208"/>
    <w:lvl w:ilvl="0" w:tplc="C0DC327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C2FE8"/>
    <w:multiLevelType w:val="hybridMultilevel"/>
    <w:tmpl w:val="028E6B1A"/>
    <w:lvl w:ilvl="0" w:tplc="F66C57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D0F53"/>
    <w:multiLevelType w:val="hybridMultilevel"/>
    <w:tmpl w:val="B8A4208E"/>
    <w:lvl w:ilvl="0" w:tplc="F66C57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D4E4D"/>
    <w:multiLevelType w:val="hybridMultilevel"/>
    <w:tmpl w:val="B78E3E18"/>
    <w:lvl w:ilvl="0" w:tplc="F66C57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A3DE5"/>
    <w:multiLevelType w:val="hybridMultilevel"/>
    <w:tmpl w:val="89C0F39E"/>
    <w:lvl w:ilvl="0" w:tplc="F66C57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6325A"/>
    <w:multiLevelType w:val="hybridMultilevel"/>
    <w:tmpl w:val="F2D21284"/>
    <w:lvl w:ilvl="0" w:tplc="258813F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C3793"/>
    <w:multiLevelType w:val="hybridMultilevel"/>
    <w:tmpl w:val="6D2A82BE"/>
    <w:lvl w:ilvl="0" w:tplc="F66C57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D7CEB"/>
    <w:multiLevelType w:val="hybridMultilevel"/>
    <w:tmpl w:val="534A97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F866755"/>
    <w:multiLevelType w:val="hybridMultilevel"/>
    <w:tmpl w:val="4DF04AA2"/>
    <w:lvl w:ilvl="0" w:tplc="95AC9442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0D6C36"/>
    <w:multiLevelType w:val="hybridMultilevel"/>
    <w:tmpl w:val="6FD478DC"/>
    <w:lvl w:ilvl="0" w:tplc="A8A8D8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80837DC"/>
    <w:multiLevelType w:val="hybridMultilevel"/>
    <w:tmpl w:val="0164AE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66C5732">
      <w:numFmt w:val="bullet"/>
      <w:lvlText w:val="•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0F3306"/>
    <w:multiLevelType w:val="hybridMultilevel"/>
    <w:tmpl w:val="70AC14FE"/>
    <w:lvl w:ilvl="0" w:tplc="F66C57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12"/>
  </w:num>
  <w:num w:numId="6">
    <w:abstractNumId w:val="15"/>
  </w:num>
  <w:num w:numId="7">
    <w:abstractNumId w:val="13"/>
  </w:num>
  <w:num w:numId="8">
    <w:abstractNumId w:val="14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  <w:num w:numId="13">
    <w:abstractNumId w:val="1"/>
  </w:num>
  <w:num w:numId="14">
    <w:abstractNumId w:val="16"/>
  </w:num>
  <w:num w:numId="15">
    <w:abstractNumId w:val="11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392E"/>
    <w:rsid w:val="00051ECF"/>
    <w:rsid w:val="000569A2"/>
    <w:rsid w:val="000D1702"/>
    <w:rsid w:val="00113876"/>
    <w:rsid w:val="00144A7C"/>
    <w:rsid w:val="00156C4C"/>
    <w:rsid w:val="001B2418"/>
    <w:rsid w:val="003E57A6"/>
    <w:rsid w:val="004A753D"/>
    <w:rsid w:val="004B45D1"/>
    <w:rsid w:val="004F0F48"/>
    <w:rsid w:val="00510BB8"/>
    <w:rsid w:val="00516050"/>
    <w:rsid w:val="00561560"/>
    <w:rsid w:val="005C777A"/>
    <w:rsid w:val="00667C04"/>
    <w:rsid w:val="006C6FDB"/>
    <w:rsid w:val="006E3DC6"/>
    <w:rsid w:val="00712974"/>
    <w:rsid w:val="00714BCF"/>
    <w:rsid w:val="007332FA"/>
    <w:rsid w:val="00745076"/>
    <w:rsid w:val="0075050C"/>
    <w:rsid w:val="0079392E"/>
    <w:rsid w:val="007F11A3"/>
    <w:rsid w:val="008E3ACB"/>
    <w:rsid w:val="00950D6C"/>
    <w:rsid w:val="009856E5"/>
    <w:rsid w:val="009900CA"/>
    <w:rsid w:val="009C5AD2"/>
    <w:rsid w:val="00A053C1"/>
    <w:rsid w:val="00A44800"/>
    <w:rsid w:val="00A9203C"/>
    <w:rsid w:val="00B22DD9"/>
    <w:rsid w:val="00B64E5E"/>
    <w:rsid w:val="00BC4E78"/>
    <w:rsid w:val="00C44B93"/>
    <w:rsid w:val="00CB737C"/>
    <w:rsid w:val="00D90AD2"/>
    <w:rsid w:val="00D93C23"/>
    <w:rsid w:val="00E378C7"/>
    <w:rsid w:val="00E768AA"/>
    <w:rsid w:val="00EC160D"/>
    <w:rsid w:val="00F24BBD"/>
    <w:rsid w:val="00F673BA"/>
    <w:rsid w:val="00FC4290"/>
    <w:rsid w:val="00FD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50C"/>
    <w:pPr>
      <w:spacing w:after="0" w:line="240" w:lineRule="auto"/>
    </w:pPr>
  </w:style>
  <w:style w:type="paragraph" w:customStyle="1" w:styleId="txt">
    <w:name w:val="txt"/>
    <w:basedOn w:val="a3"/>
    <w:link w:val="txt0"/>
    <w:qFormat/>
    <w:rsid w:val="001B2418"/>
    <w:pPr>
      <w:suppressAutoHyphens/>
      <w:spacing w:before="240" w:after="240"/>
      <w:ind w:firstLine="709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mark">
    <w:name w:val="mark"/>
    <w:basedOn w:val="a3"/>
    <w:link w:val="mark0"/>
    <w:qFormat/>
    <w:rsid w:val="00745076"/>
    <w:pPr>
      <w:suppressAutoHyphens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75050C"/>
  </w:style>
  <w:style w:type="character" w:customStyle="1" w:styleId="txt0">
    <w:name w:val="txt Знак"/>
    <w:basedOn w:val="a4"/>
    <w:link w:val="txt"/>
    <w:rsid w:val="001B2418"/>
    <w:rPr>
      <w:rFonts w:ascii="Times New Roman" w:hAnsi="Times New Roman" w:cs="Times New Roman"/>
      <w:sz w:val="26"/>
      <w:szCs w:val="26"/>
      <w:lang w:val="ru-RU"/>
    </w:rPr>
  </w:style>
  <w:style w:type="character" w:customStyle="1" w:styleId="mark0">
    <w:name w:val="mark Знак"/>
    <w:basedOn w:val="a4"/>
    <w:link w:val="mark"/>
    <w:rsid w:val="0074507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16</Pages>
  <Words>6858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45864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Легуша Сергей Федорович</dc:creator>
  <cp:keywords/>
  <dc:description/>
  <cp:lastModifiedBy>L.Gladkova</cp:lastModifiedBy>
  <cp:revision>23</cp:revision>
  <dcterms:created xsi:type="dcterms:W3CDTF">2017-07-25T08:11:00Z</dcterms:created>
  <dcterms:modified xsi:type="dcterms:W3CDTF">2017-08-16T14:20:00Z</dcterms:modified>
</cp:coreProperties>
</file>