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A" w:rsidRPr="007151E7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</w:t>
      </w:r>
      <w:bookmarkStart w:id="0" w:name="_Toc436381409"/>
      <w:r w:rsidR="004978E0" w:rsidRPr="004978E0">
        <w:rPr>
          <w:rFonts w:ascii="Arial" w:hAnsi="Arial" w:cs="Arial"/>
          <w:b/>
          <w:lang w:val="ru-RU"/>
        </w:rPr>
        <w:t xml:space="preserve">проверки </w:t>
      </w:r>
      <w:bookmarkEnd w:id="0"/>
      <w:r w:rsidR="007151E7" w:rsidRPr="007151E7">
        <w:rPr>
          <w:rFonts w:ascii="Arial" w:hAnsi="Arial" w:cs="Arial"/>
          <w:b/>
          <w:lang w:val="ru-RU"/>
        </w:rPr>
        <w:t xml:space="preserve">работоспособности тренажёра по </w:t>
      </w:r>
      <w:r w:rsidR="005F20B1">
        <w:rPr>
          <w:rFonts w:ascii="Arial" w:hAnsi="Arial" w:cs="Arial"/>
          <w:b/>
          <w:lang w:val="ru-RU"/>
        </w:rPr>
        <w:t>судовождению</w:t>
      </w:r>
      <w:bookmarkStart w:id="1" w:name="_GoBack"/>
      <w:bookmarkEnd w:id="1"/>
    </w:p>
    <w:p w:rsidR="004978E0" w:rsidRPr="00BA538A" w:rsidRDefault="004978E0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254"/>
      </w:tblGrid>
      <w:tr w:rsidR="00BA538A" w:rsidRPr="00BA538A" w:rsidTr="00AF12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7151E7" w:rsidP="00AF128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Комментарии и объективные свидетельства </w:t>
            </w:r>
          </w:p>
        </w:tc>
      </w:tr>
      <w:tr w:rsidR="007151E7" w:rsidRPr="004978E0" w:rsidTr="00364C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BA538A" w:rsidRDefault="007151E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Характеристики</w:t>
            </w:r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тренажера</w:t>
            </w:r>
            <w:proofErr w:type="spellEnd"/>
            <w:r>
              <w:rPr>
                <w:rFonts w:ascii="Arial" w:hAnsi="Arial" w:cs="Arial"/>
                <w:snapToGrid w:val="0"/>
                <w:lang w:val="ru-RU"/>
              </w:rPr>
              <w:t>:</w:t>
            </w:r>
          </w:p>
        </w:tc>
      </w:tr>
      <w:tr w:rsidR="007151E7" w:rsidRPr="004978E0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</w:t>
            </w:r>
            <w:r w:rsidRPr="00205467">
              <w:rPr>
                <w:rFonts w:ascii="Arial" w:hAnsi="Arial" w:cs="Arial"/>
              </w:rPr>
              <w:t>ип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тренажера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978E0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Pr="00205467">
              <w:rPr>
                <w:rFonts w:ascii="Arial" w:hAnsi="Arial" w:cs="Arial"/>
              </w:rPr>
              <w:t>зготовитель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тренажера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51E7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4978E0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7151E7">
              <w:rPr>
                <w:rFonts w:ascii="Arial" w:hAnsi="Arial" w:cs="Arial"/>
                <w:lang w:val="ru-RU"/>
              </w:rPr>
              <w:t>свидетельство об одобрении типа аппаратуры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978E0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978E0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proofErr w:type="spellStart"/>
            <w:r w:rsidRPr="00205467">
              <w:rPr>
                <w:rFonts w:ascii="Arial" w:hAnsi="Arial" w:cs="Arial"/>
              </w:rPr>
              <w:t>рограммное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обеспечение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версия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абочее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места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инструктора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r w:rsidRPr="007151E7">
              <w:rPr>
                <w:rFonts w:ascii="Arial" w:hAnsi="Arial" w:cs="Arial"/>
                <w:snapToGrid w:val="0"/>
                <w:lang w:val="ru-RU"/>
              </w:rPr>
              <w:t>абочие места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 слушателей в количестве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5E6A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151E7">
              <w:rPr>
                <w:rFonts w:ascii="Arial" w:hAnsi="Arial" w:cs="Arial"/>
                <w:snapToGrid w:val="0"/>
                <w:lang w:val="ru-RU"/>
              </w:rPr>
              <w:t>Работоспособность рабочих мест слушателей, представляющих собой имитаторы ходовых мостиков собственных судов</w:t>
            </w:r>
            <w:r>
              <w:rPr>
                <w:rFonts w:ascii="Arial" w:hAnsi="Arial" w:cs="Arial"/>
                <w:snapToGrid w:val="0"/>
                <w:lang w:val="ru-RU"/>
              </w:rPr>
              <w:t>:</w:t>
            </w: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7151E7">
              <w:rPr>
                <w:rFonts w:ascii="Arial" w:hAnsi="Arial" w:cs="Arial"/>
                <w:lang w:val="ru-RU"/>
              </w:rPr>
              <w:t xml:space="preserve">анель дистанционного управления </w:t>
            </w:r>
            <w:proofErr w:type="spellStart"/>
            <w:r w:rsidRPr="007151E7">
              <w:rPr>
                <w:rFonts w:ascii="Arial" w:hAnsi="Arial" w:cs="Arial"/>
                <w:lang w:val="ru-RU"/>
              </w:rPr>
              <w:t>пропульсивной</w:t>
            </w:r>
            <w:proofErr w:type="spellEnd"/>
            <w:r w:rsidRPr="007151E7">
              <w:rPr>
                <w:rFonts w:ascii="Arial" w:hAnsi="Arial" w:cs="Arial"/>
                <w:lang w:val="ru-RU"/>
              </w:rPr>
              <w:t xml:space="preserve"> установкой одновинтового и двухвинтового судна включая, как минимум, машинный телеграф, индикаторы оборотов двигателя и шага винта, панель аварийной сигнализации, органы управления и индикатором нагрузки подруливающего устройства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7151E7">
              <w:rPr>
                <w:rFonts w:ascii="Arial" w:hAnsi="Arial" w:cs="Arial"/>
                <w:lang w:val="ru-RU"/>
              </w:rPr>
              <w:t>онсоль управления рулевым устройством в автоматическом и ручном режиме, включая переключатель режимов работы, органы управления в ручном режиме, индикаторы заданного и истинного положения руля, индикатор угловой скорости поворота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7151E7">
              <w:rPr>
                <w:rFonts w:ascii="Arial" w:hAnsi="Arial" w:cs="Arial"/>
                <w:lang w:val="ru-RU"/>
              </w:rPr>
              <w:t>анель дистанционного управления якорным устройством, включая блок управления якорным устройством и индикацию параметров якорь-цепи (сила и угол натяжение каната, количество вытравленного каната, скорость отдачи/выборки якоря)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7151E7">
              <w:rPr>
                <w:rFonts w:ascii="Arial" w:hAnsi="Arial" w:cs="Arial"/>
                <w:lang w:val="ru-RU"/>
              </w:rPr>
              <w:t>анель включения навигационных огней и палубного освещения (блок управления и индикация)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Pr="00205467">
              <w:rPr>
                <w:rFonts w:ascii="Arial" w:hAnsi="Arial" w:cs="Arial"/>
              </w:rPr>
              <w:t>анель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сигнальных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фигур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7151E7">
              <w:rPr>
                <w:rFonts w:ascii="Arial" w:hAnsi="Arial" w:cs="Arial"/>
                <w:lang w:val="ru-RU"/>
              </w:rPr>
              <w:t>анель управления автоматом звуковых сигналов с возможностью подачи звуковых сигналов в ручном режиме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</w:t>
            </w:r>
            <w:r w:rsidRPr="007151E7">
              <w:rPr>
                <w:rFonts w:ascii="Arial" w:hAnsi="Arial" w:cs="Arial"/>
                <w:lang w:val="ru-RU"/>
              </w:rPr>
              <w:t>стройство для подачи сигналов судовых тревог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</w:t>
            </w:r>
            <w:r w:rsidRPr="007151E7">
              <w:rPr>
                <w:rFonts w:ascii="Arial" w:hAnsi="Arial" w:cs="Arial"/>
                <w:lang w:val="ru-RU"/>
              </w:rPr>
              <w:t>казатели скорости хода относительно воды и грунта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Pr="00205467">
              <w:rPr>
                <w:rFonts w:ascii="Arial" w:hAnsi="Arial" w:cs="Arial"/>
              </w:rPr>
              <w:t>казатель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глубины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под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килем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Pr="00205467">
              <w:rPr>
                <w:rFonts w:ascii="Arial" w:hAnsi="Arial" w:cs="Arial"/>
              </w:rPr>
              <w:t>епитер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гирокомпаса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Pr="00205467">
              <w:rPr>
                <w:rFonts w:ascii="Arial" w:hAnsi="Arial" w:cs="Arial"/>
              </w:rPr>
              <w:t>епитер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магнитного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компаса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Pr="00205467">
              <w:rPr>
                <w:rFonts w:ascii="Arial" w:hAnsi="Arial" w:cs="Arial"/>
              </w:rPr>
              <w:t>ндикатор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судовой</w:t>
            </w:r>
            <w:proofErr w:type="spellEnd"/>
            <w:r w:rsidRPr="00205467">
              <w:rPr>
                <w:rFonts w:ascii="Arial" w:hAnsi="Arial" w:cs="Arial"/>
              </w:rPr>
              <w:t xml:space="preserve"> РЛС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7151E7">
              <w:rPr>
                <w:rFonts w:ascii="Arial" w:hAnsi="Arial" w:cs="Arial"/>
                <w:lang w:val="ru-RU"/>
              </w:rPr>
              <w:t>удовая аппаратура автоматической идентификационной системы (АИС)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п</w:t>
            </w:r>
            <w:r w:rsidRPr="007151E7">
              <w:rPr>
                <w:rFonts w:ascii="Arial" w:hAnsi="Arial" w:cs="Arial"/>
                <w:lang w:val="ru-RU"/>
              </w:rPr>
              <w:t>риемоиндикаторы</w:t>
            </w:r>
            <w:proofErr w:type="spellEnd"/>
            <w:r w:rsidRPr="007151E7">
              <w:rPr>
                <w:rFonts w:ascii="Arial" w:hAnsi="Arial" w:cs="Arial"/>
                <w:lang w:val="ru-RU"/>
              </w:rPr>
              <w:t xml:space="preserve"> спутниковых навигационных систем (</w:t>
            </w:r>
            <w:r w:rsidRPr="00205467">
              <w:rPr>
                <w:rFonts w:ascii="Arial" w:hAnsi="Arial" w:cs="Arial"/>
              </w:rPr>
              <w:t>GPS</w:t>
            </w:r>
            <w:r w:rsidRPr="007151E7">
              <w:rPr>
                <w:rFonts w:ascii="Arial" w:hAnsi="Arial" w:cs="Arial"/>
                <w:lang w:val="ru-RU"/>
              </w:rPr>
              <w:t xml:space="preserve"> и ГЛОНАСС)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r w:rsidRPr="00205467">
              <w:rPr>
                <w:rFonts w:ascii="Arial" w:hAnsi="Arial" w:cs="Arial"/>
              </w:rPr>
              <w:t>ЭКНИС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7151E7">
              <w:rPr>
                <w:rFonts w:ascii="Arial" w:hAnsi="Arial" w:cs="Arial"/>
                <w:lang w:val="ru-RU"/>
              </w:rPr>
              <w:t>УКВ радиоустановка и/или комплект радиооборудования ГМССБ, соответствующий требованиям Конвенции СОЛАС для судов, совершающих рейсы в морских районах А1, А2 и А3 (При использовании тренажёра только для имитации плавания судна в морском районе А1 или в морских районах А1 и А2 конфигурация имитаторов радиооборудования ГМССБ на ходовых мостиках собственных судов может быть сокращена до соответствующих требований Конвенции СОЛАС)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7151E7">
              <w:rPr>
                <w:rFonts w:ascii="Arial" w:hAnsi="Arial" w:cs="Arial"/>
                <w:lang w:val="ru-RU"/>
              </w:rPr>
              <w:t>редства двусторонней связи “ходовой мостик – инструктор”, имитирующие средства внутрисудовой связи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7151E7">
              <w:rPr>
                <w:rFonts w:ascii="Arial" w:hAnsi="Arial" w:cs="Arial"/>
                <w:lang w:val="ru-RU"/>
              </w:rPr>
              <w:t>нопка активации сигнала и кнопка режима тестирования судовой системы охранного оповещения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7151E7">
              <w:rPr>
                <w:rFonts w:ascii="Arial" w:hAnsi="Arial" w:cs="Arial"/>
                <w:lang w:val="ru-RU"/>
              </w:rPr>
              <w:t>анель управления пеленгатором (биноклем) с возможностью изменения горизонтального и вертикального углов зрения, увеличения изображения и снятия визуального пеленга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Pr="00205467">
              <w:rPr>
                <w:rFonts w:ascii="Arial" w:hAnsi="Arial" w:cs="Arial"/>
              </w:rPr>
              <w:t>ульт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управления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прожектором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Pr="00205467">
              <w:rPr>
                <w:rFonts w:ascii="Arial" w:hAnsi="Arial" w:cs="Arial"/>
              </w:rPr>
              <w:t>ндикатор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углов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крена</w:t>
            </w:r>
            <w:proofErr w:type="spellEnd"/>
            <w:r w:rsidRPr="00205467">
              <w:rPr>
                <w:rFonts w:ascii="Arial" w:hAnsi="Arial" w:cs="Arial"/>
              </w:rPr>
              <w:t xml:space="preserve"> (</w:t>
            </w:r>
            <w:proofErr w:type="spellStart"/>
            <w:r w:rsidRPr="00205467">
              <w:rPr>
                <w:rFonts w:ascii="Arial" w:hAnsi="Arial" w:cs="Arial"/>
              </w:rPr>
              <w:t>кренометр</w:t>
            </w:r>
            <w:proofErr w:type="spellEnd"/>
            <w:r w:rsidRPr="00205467">
              <w:rPr>
                <w:rFonts w:ascii="Arial" w:hAnsi="Arial" w:cs="Arial"/>
              </w:rPr>
              <w:t>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</w:t>
            </w:r>
            <w:r w:rsidRPr="007151E7">
              <w:rPr>
                <w:rFonts w:ascii="Arial" w:hAnsi="Arial" w:cs="Arial"/>
                <w:lang w:val="ru-RU"/>
              </w:rPr>
              <w:t>ндикаторы для отображения судового времени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</w:t>
            </w:r>
            <w:r w:rsidRPr="007151E7">
              <w:rPr>
                <w:rFonts w:ascii="Arial" w:hAnsi="Arial" w:cs="Arial"/>
                <w:lang w:val="ru-RU"/>
              </w:rPr>
              <w:t>ндикаторы для отображения направления и скорости ветра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52567" w:rsidRDefault="007151E7" w:rsidP="007151E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7151E7">
              <w:rPr>
                <w:rFonts w:ascii="Arial" w:hAnsi="Arial" w:cs="Arial"/>
                <w:lang w:val="ru-RU"/>
              </w:rPr>
              <w:t>истема контроля дееспособности вахтенного помощника капитана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80D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80D1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94551C">
              <w:rPr>
                <w:rFonts w:ascii="Arial" w:hAnsi="Arial" w:cs="Arial"/>
                <w:snapToGrid w:val="0"/>
                <w:lang w:val="ru-RU"/>
              </w:rPr>
              <w:t>Работоспособность рабочего места инструктора</w:t>
            </w:r>
            <w:r>
              <w:rPr>
                <w:rFonts w:ascii="Arial" w:hAnsi="Arial" w:cs="Arial"/>
                <w:lang w:val="ru-RU"/>
              </w:rPr>
              <w:t>:</w:t>
            </w:r>
          </w:p>
        </w:tc>
      </w:tr>
      <w:tr w:rsidR="0094551C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05467" w:rsidRDefault="0094551C" w:rsidP="0094551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proofErr w:type="spellStart"/>
            <w:r>
              <w:rPr>
                <w:rFonts w:ascii="Arial" w:hAnsi="Arial" w:cs="Arial"/>
              </w:rPr>
              <w:t>онсоль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инструктора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05467" w:rsidRDefault="0094551C" w:rsidP="0094551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proofErr w:type="spellStart"/>
            <w:r>
              <w:rPr>
                <w:rFonts w:ascii="Arial" w:hAnsi="Arial" w:cs="Arial"/>
              </w:rPr>
              <w:t>ечатающее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устройство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94551C">
              <w:rPr>
                <w:rFonts w:ascii="Arial" w:hAnsi="Arial" w:cs="Arial"/>
                <w:lang w:val="ru-RU"/>
              </w:rPr>
              <w:t>редства для видеонаблюдения за ходовыми мостиками, если наблюдение за ходовыми мостиками не может осуществляться непосредствен</w:t>
            </w:r>
            <w:r>
              <w:rPr>
                <w:rFonts w:ascii="Arial" w:hAnsi="Arial" w:cs="Arial"/>
                <w:lang w:val="ru-RU"/>
              </w:rPr>
              <w:t>но с рабочего места инструктора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94551C">
              <w:rPr>
                <w:rFonts w:ascii="Arial" w:hAnsi="Arial" w:cs="Arial"/>
                <w:lang w:val="ru-RU"/>
              </w:rPr>
              <w:t>борудование для обеспечения связи с ходовыми мостиками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94551C">
              <w:rPr>
                <w:rFonts w:ascii="Arial" w:hAnsi="Arial" w:cs="Arial"/>
                <w:snapToGrid w:val="0"/>
                <w:lang w:val="ru-RU"/>
              </w:rPr>
              <w:t>возможность подключения проекционной аппаратуры для повторного показа и разбора выполненного упражнения с позиции любого из ходовых мостиков собственных судов в учебном классе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DA76A7" w:rsidTr="00F506A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F506A3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F50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5467">
              <w:rPr>
                <w:rFonts w:ascii="Arial" w:hAnsi="Arial" w:cs="Arial"/>
                <w:snapToGrid w:val="0"/>
              </w:rPr>
              <w:t>Н</w:t>
            </w:r>
            <w:r w:rsidRPr="00205467">
              <w:rPr>
                <w:rFonts w:ascii="Arial" w:hAnsi="Arial" w:cs="Arial"/>
              </w:rPr>
              <w:t>абор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районов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упражнений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94551C">
              <w:rPr>
                <w:rFonts w:ascii="Arial" w:hAnsi="Arial" w:cs="Arial"/>
                <w:lang w:val="ru-RU"/>
              </w:rPr>
              <w:t>ткрытое море, подходы к порту, узкости, включая реки, каналы, узкие проходы, фарватеры и т.п. с реальным отображением береговой черты, мостов, линий электропередач, а также навигационной обстановки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05467" w:rsidRDefault="0094551C" w:rsidP="0094551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Pr="00205467">
              <w:rPr>
                <w:rFonts w:ascii="Arial" w:hAnsi="Arial" w:cs="Arial"/>
              </w:rPr>
              <w:t>айон</w:t>
            </w:r>
            <w:proofErr w:type="spellEnd"/>
            <w:r w:rsidRPr="00205467">
              <w:rPr>
                <w:rFonts w:ascii="Arial" w:hAnsi="Arial" w:cs="Arial"/>
              </w:rPr>
              <w:t xml:space="preserve"> с СРДС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</w:t>
            </w:r>
            <w:r w:rsidRPr="0094551C">
              <w:rPr>
                <w:rFonts w:ascii="Arial" w:hAnsi="Arial" w:cs="Arial"/>
                <w:lang w:val="ru-RU"/>
              </w:rPr>
              <w:t>кватория порта с возможностью осуществления швартовных операций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</w:t>
            </w:r>
            <w:r w:rsidRPr="0094551C">
              <w:rPr>
                <w:rFonts w:ascii="Arial" w:hAnsi="Arial" w:cs="Arial"/>
                <w:lang w:val="ru-RU"/>
              </w:rPr>
              <w:t>она действия СУДС российского порта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94551C">
              <w:rPr>
                <w:rFonts w:ascii="Arial" w:hAnsi="Arial" w:cs="Arial"/>
                <w:lang w:val="ru-RU"/>
              </w:rPr>
              <w:t xml:space="preserve">оличество районов упражнений (минимум – 10) </w:t>
            </w:r>
            <w:r w:rsidRPr="0094551C">
              <w:rPr>
                <w:rFonts w:ascii="Arial" w:hAnsi="Arial" w:cs="Arial"/>
                <w:szCs w:val="18"/>
                <w:lang w:val="ru-RU"/>
              </w:rPr>
              <w:t>(Из них не менее 5 районов, включающих как подходы к российскому порту, так и акваторию порта)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DA76A7" w:rsidTr="004A21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4A213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4A2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5467">
              <w:rPr>
                <w:rFonts w:ascii="Arial" w:hAnsi="Arial" w:cs="Arial"/>
                <w:snapToGrid w:val="0"/>
              </w:rPr>
              <w:t>Набор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моделей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собственных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судов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>:</w:t>
            </w: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94551C">
              <w:rPr>
                <w:rFonts w:ascii="Arial" w:hAnsi="Arial" w:cs="Arial"/>
                <w:lang w:val="ru-RU"/>
              </w:rPr>
              <w:t>уда различных типов (танкер, балкер, сухогрузное судно, ледокол, буксир и др.), отличающиеся по водоизмещению и маневренным характеристикам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94551C">
              <w:rPr>
                <w:rFonts w:ascii="Arial" w:hAnsi="Arial" w:cs="Arial"/>
                <w:lang w:val="ru-RU"/>
              </w:rPr>
              <w:t>уда с движителями ВФШ, ВРШ, ВРК и туннельными подруливающими устройствами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94551C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94551C">
              <w:rPr>
                <w:rFonts w:ascii="Arial" w:hAnsi="Arial" w:cs="Arial"/>
                <w:lang w:val="ru-RU"/>
              </w:rPr>
              <w:t>уда с главными двигателями различных типов (малооборотный и среднеоборотный дизели, паровая и газовая турбина)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94551C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05467" w:rsidRDefault="0094551C" w:rsidP="0094551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</w:t>
            </w:r>
            <w:r w:rsidRPr="00205467">
              <w:rPr>
                <w:rFonts w:ascii="Arial" w:hAnsi="Arial" w:cs="Arial"/>
              </w:rPr>
              <w:t>оличество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моделей</w:t>
            </w:r>
            <w:proofErr w:type="spellEnd"/>
            <w:r w:rsidRPr="00205467">
              <w:rPr>
                <w:rFonts w:ascii="Arial" w:hAnsi="Arial" w:cs="Arial"/>
              </w:rPr>
              <w:t xml:space="preserve"> (</w:t>
            </w:r>
            <w:proofErr w:type="spellStart"/>
            <w:r w:rsidRPr="00205467">
              <w:rPr>
                <w:rFonts w:ascii="Arial" w:hAnsi="Arial" w:cs="Arial"/>
              </w:rPr>
              <w:t>минимум</w:t>
            </w:r>
            <w:proofErr w:type="spellEnd"/>
            <w:r w:rsidRPr="00205467">
              <w:rPr>
                <w:rFonts w:ascii="Arial" w:hAnsi="Arial" w:cs="Arial"/>
              </w:rPr>
              <w:t xml:space="preserve"> – 5)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DA76A7" w:rsidTr="00F259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43271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432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5467">
              <w:rPr>
                <w:rFonts w:ascii="Arial" w:hAnsi="Arial" w:cs="Arial"/>
                <w:snapToGrid w:val="0"/>
              </w:rPr>
              <w:t>Наличие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обязательной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литературы</w:t>
            </w:r>
            <w:proofErr w:type="spellEnd"/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23288B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3288B" w:rsidRDefault="0094551C" w:rsidP="0094551C">
            <w:pPr>
              <w:widowControl w:val="0"/>
              <w:autoSpaceDE w:val="0"/>
              <w:jc w:val="both"/>
              <w:rPr>
                <w:rFonts w:ascii="Tahoma" w:hAnsi="Tahoma" w:cs="Tahoma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Международная конвенция по охране человеческой жизни на море 1974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23288B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3288B" w:rsidRDefault="0094551C" w:rsidP="0094551C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 xml:space="preserve">Международная конвенция о подготовке и </w:t>
            </w:r>
            <w:proofErr w:type="spellStart"/>
            <w:r w:rsidRPr="0023288B">
              <w:rPr>
                <w:rFonts w:ascii="Arial" w:hAnsi="Arial" w:cs="Arial"/>
                <w:lang w:val="ru-RU"/>
              </w:rPr>
              <w:t>дипломировании</w:t>
            </w:r>
            <w:proofErr w:type="spellEnd"/>
            <w:r w:rsidRPr="0023288B">
              <w:rPr>
                <w:rFonts w:ascii="Arial" w:hAnsi="Arial" w:cs="Arial"/>
                <w:lang w:val="ru-RU"/>
              </w:rPr>
              <w:t xml:space="preserve"> моряков и несении вахты 1978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23288B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3288B" w:rsidRDefault="0094551C" w:rsidP="0094551C">
            <w:pPr>
              <w:widowControl w:val="0"/>
              <w:autoSpaceDE w:val="0"/>
              <w:jc w:val="both"/>
              <w:rPr>
                <w:rFonts w:ascii="Tahoma" w:hAnsi="Tahoma" w:cs="Tahoma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Международные правила предупреждения столкновения судов в море 1972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452567" w:rsidRDefault="0023288B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3288B" w:rsidRDefault="0094551C" w:rsidP="0094551C">
            <w:pPr>
              <w:widowControl w:val="0"/>
              <w:autoSpaceDE w:val="0"/>
              <w:jc w:val="both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Стандартные фразы ИМО для общения на море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Default="0023288B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3288B" w:rsidRDefault="0094551C" w:rsidP="0094551C">
            <w:pPr>
              <w:widowControl w:val="0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Приказ Минтранса России от 10.02.2010 г. № 32</w:t>
            </w:r>
            <w:r w:rsidR="0023288B"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51C" w:rsidRPr="005F20B1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Default="0023288B" w:rsidP="0094551C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23288B" w:rsidRDefault="0094551C" w:rsidP="0094551C">
            <w:pPr>
              <w:widowControl w:val="0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Приказ Минтранса России от 15.03.2012 г. № 62</w:t>
            </w:r>
            <w:r w:rsidR="0023288B"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C" w:rsidRPr="00DA76A7" w:rsidRDefault="0094551C" w:rsidP="0094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A538A" w:rsidRPr="00BA538A" w:rsidRDefault="00BA538A">
      <w:pPr>
        <w:rPr>
          <w:lang w:val="ru-RU"/>
        </w:rPr>
      </w:pPr>
    </w:p>
    <w:sectPr w:rsidR="00BA538A" w:rsidRPr="00BA538A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48" w:rsidRDefault="006D7248">
      <w:r>
        <w:separator/>
      </w:r>
    </w:p>
  </w:endnote>
  <w:endnote w:type="continuationSeparator" w:id="0">
    <w:p w:rsidR="006D7248" w:rsidRDefault="006D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49" w:rsidRPr="007A0949" w:rsidRDefault="007A0949" w:rsidP="007A094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5F20B1">
      <w:rPr>
        <w:rFonts w:ascii="Arial" w:hAnsi="Arial" w:cs="Arial"/>
        <w:noProof/>
      </w:rPr>
      <w:t>2</w:t>
    </w:r>
    <w:r w:rsidRPr="007A0949">
      <w:rPr>
        <w:rFonts w:ascii="Arial" w:hAnsi="Arial" w:cs="Arial"/>
      </w:rPr>
      <w:fldChar w:fldCharType="end"/>
    </w:r>
    <w:r w:rsidRPr="007A0949">
      <w:rPr>
        <w:rStyle w:val="aa"/>
        <w:rFonts w:ascii="Arial" w:hAnsi="Arial" w:cs="Arial"/>
      </w:rPr>
      <w:tab/>
    </w:r>
    <w:r w:rsidR="006B55C4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3E" w:rsidRPr="009E533E" w:rsidRDefault="009E533E" w:rsidP="009E533E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Style w:val="aa"/>
        <w:rFonts w:ascii="Arial" w:hAnsi="Arial" w:cs="Arial"/>
      </w:rPr>
      <w:tab/>
    </w:r>
    <w:r w:rsidR="006B55C4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48" w:rsidRDefault="006D7248">
      <w:r>
        <w:separator/>
      </w:r>
    </w:p>
  </w:footnote>
  <w:footnote w:type="continuationSeparator" w:id="0">
    <w:p w:rsidR="006D7248" w:rsidRDefault="006D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B27DE2" w:rsidRPr="00450FB9" w:rsidTr="00450FB9">
      <w:tc>
        <w:tcPr>
          <w:tcW w:w="1074" w:type="dxa"/>
        </w:tcPr>
        <w:p w:rsidR="00B27DE2" w:rsidRPr="00450FB9" w:rsidRDefault="001C5643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B27DE2" w:rsidRPr="00450FB9" w:rsidRDefault="00B27DE2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B27DE2" w:rsidRPr="00450FB9" w:rsidRDefault="001C5643" w:rsidP="00012354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012354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012354">
            <w:rPr>
              <w:rFonts w:ascii="Arial" w:hAnsi="Arial" w:cs="Arial"/>
              <w:sz w:val="16"/>
              <w:szCs w:val="16"/>
              <w:lang w:val="ru-RU"/>
            </w:rPr>
            <w:t>8</w:t>
          </w:r>
        </w:p>
      </w:tc>
    </w:tr>
  </w:tbl>
  <w:p w:rsidR="00B27DE2" w:rsidRPr="00497253" w:rsidRDefault="00B27DE2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933235" w:rsidRPr="00450FB9" w:rsidTr="006971B8">
      <w:tc>
        <w:tcPr>
          <w:tcW w:w="1074" w:type="dxa"/>
        </w:tcPr>
        <w:p w:rsidR="00933235" w:rsidRPr="00450FB9" w:rsidRDefault="00933235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 wp14:anchorId="3C86C898" wp14:editId="19CA4996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933235" w:rsidRPr="00450FB9" w:rsidRDefault="00933235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933235" w:rsidRPr="00450FB9" w:rsidRDefault="00933235" w:rsidP="00012354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012354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012354">
            <w:rPr>
              <w:rFonts w:ascii="Arial" w:hAnsi="Arial" w:cs="Arial"/>
              <w:sz w:val="16"/>
              <w:szCs w:val="16"/>
              <w:lang w:val="ru-RU"/>
            </w:rPr>
            <w:t>8</w:t>
          </w:r>
        </w:p>
      </w:tc>
    </w:tr>
  </w:tbl>
  <w:p w:rsidR="00933235" w:rsidRPr="00497253" w:rsidRDefault="00933235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141612"/>
    <w:multiLevelType w:val="hybridMultilevel"/>
    <w:tmpl w:val="C30AF6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3"/>
    <w:rsid w:val="00012354"/>
    <w:rsid w:val="0007040B"/>
    <w:rsid w:val="000844A8"/>
    <w:rsid w:val="000D00DA"/>
    <w:rsid w:val="000D0F35"/>
    <w:rsid w:val="00144AFD"/>
    <w:rsid w:val="00145CD0"/>
    <w:rsid w:val="00162B80"/>
    <w:rsid w:val="001C5643"/>
    <w:rsid w:val="00211D6E"/>
    <w:rsid w:val="0023288B"/>
    <w:rsid w:val="003037DB"/>
    <w:rsid w:val="003A2BEC"/>
    <w:rsid w:val="003A5AF4"/>
    <w:rsid w:val="00421FD8"/>
    <w:rsid w:val="00450FB9"/>
    <w:rsid w:val="00452567"/>
    <w:rsid w:val="00452CB1"/>
    <w:rsid w:val="00497253"/>
    <w:rsid w:val="004978E0"/>
    <w:rsid w:val="004B6D5C"/>
    <w:rsid w:val="004C17EC"/>
    <w:rsid w:val="004D010B"/>
    <w:rsid w:val="00512BFC"/>
    <w:rsid w:val="005741D1"/>
    <w:rsid w:val="005E145A"/>
    <w:rsid w:val="005F20B1"/>
    <w:rsid w:val="00614AE2"/>
    <w:rsid w:val="00614DA8"/>
    <w:rsid w:val="0063640F"/>
    <w:rsid w:val="00665FA0"/>
    <w:rsid w:val="006B55C4"/>
    <w:rsid w:val="006C02EC"/>
    <w:rsid w:val="006D7248"/>
    <w:rsid w:val="0070241A"/>
    <w:rsid w:val="007151E7"/>
    <w:rsid w:val="00762BFE"/>
    <w:rsid w:val="007A0949"/>
    <w:rsid w:val="007C39E6"/>
    <w:rsid w:val="007C789B"/>
    <w:rsid w:val="007D1789"/>
    <w:rsid w:val="007D2318"/>
    <w:rsid w:val="007D2538"/>
    <w:rsid w:val="0081098B"/>
    <w:rsid w:val="00824DDC"/>
    <w:rsid w:val="008A66F1"/>
    <w:rsid w:val="008D2CE4"/>
    <w:rsid w:val="00933235"/>
    <w:rsid w:val="0094551C"/>
    <w:rsid w:val="00950BCB"/>
    <w:rsid w:val="009606FD"/>
    <w:rsid w:val="009B47FF"/>
    <w:rsid w:val="009D5239"/>
    <w:rsid w:val="009E533E"/>
    <w:rsid w:val="00A47016"/>
    <w:rsid w:val="00AA0EE5"/>
    <w:rsid w:val="00AF1288"/>
    <w:rsid w:val="00AF1F25"/>
    <w:rsid w:val="00B06968"/>
    <w:rsid w:val="00B27DE2"/>
    <w:rsid w:val="00B513C7"/>
    <w:rsid w:val="00B62406"/>
    <w:rsid w:val="00B721CD"/>
    <w:rsid w:val="00B77B71"/>
    <w:rsid w:val="00BA538A"/>
    <w:rsid w:val="00BC47DB"/>
    <w:rsid w:val="00BF1BB3"/>
    <w:rsid w:val="00C00E6D"/>
    <w:rsid w:val="00C164F8"/>
    <w:rsid w:val="00C728FC"/>
    <w:rsid w:val="00C959C3"/>
    <w:rsid w:val="00CB6246"/>
    <w:rsid w:val="00CD5224"/>
    <w:rsid w:val="00D03006"/>
    <w:rsid w:val="00D05EDC"/>
    <w:rsid w:val="00D71034"/>
    <w:rsid w:val="00D87518"/>
    <w:rsid w:val="00DA76A7"/>
    <w:rsid w:val="00E16B30"/>
    <w:rsid w:val="00E20D54"/>
    <w:rsid w:val="00E23E04"/>
    <w:rsid w:val="00E56AE6"/>
    <w:rsid w:val="00E84863"/>
    <w:rsid w:val="00ED471E"/>
    <w:rsid w:val="00F724E2"/>
    <w:rsid w:val="00F8388E"/>
    <w:rsid w:val="00F950B8"/>
    <w:rsid w:val="00FD3E74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AC9E29-6DCF-4B96-8163-6A4F2D6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List Paragraph"/>
    <w:basedOn w:val="a"/>
    <w:uiPriority w:val="34"/>
    <w:qFormat/>
    <w:rsid w:val="004978E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c">
    <w:name w:val="List Number"/>
    <w:basedOn w:val="a"/>
    <w:rsid w:val="00DA76A7"/>
    <w:rPr>
      <w:rFonts w:ascii="Arial" w:hAnsi="Arial" w:cs="Arial"/>
      <w:sz w:val="24"/>
      <w:szCs w:val="24"/>
      <w:lang w:val="ru-RU"/>
    </w:rPr>
  </w:style>
  <w:style w:type="paragraph" w:styleId="ad">
    <w:name w:val="Balloon Text"/>
    <w:basedOn w:val="a"/>
    <w:link w:val="ae"/>
    <w:semiHidden/>
    <w:unhideWhenUsed/>
    <w:rsid w:val="00452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525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00CC-DE85-4243-8464-2A9F25F6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7</cp:revision>
  <dcterms:created xsi:type="dcterms:W3CDTF">2016-06-22T09:11:00Z</dcterms:created>
  <dcterms:modified xsi:type="dcterms:W3CDTF">2016-12-29T10:22:00Z</dcterms:modified>
  <cp:category>Формы</cp:category>
</cp:coreProperties>
</file>